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3324"/>
        <w:gridCol w:w="3324"/>
        <w:gridCol w:w="3324"/>
      </w:tblGrid>
      <w:tr>
        <w:tc>
          <w:tcPr>
            <w:tcW w:type="dxa" w:w="3324"/>
          </w:tcPr>
          <w:p>
            <w:r>
              <w:drawing>
                <wp:inline xmlns:a="http://schemas.openxmlformats.org/drawingml/2006/main" xmlns:pic="http://schemas.openxmlformats.org/drawingml/2006/picture">
                  <wp:extent cx="864000" cy="888608"/>
                  <wp:docPr id="1" name="Picture 1"/>
                  <wp:cNvGraphicFramePr>
                    <a:graphicFrameLocks noChangeAspect="1"/>
                  </wp:cNvGraphicFramePr>
                  <a:graphic>
                    <a:graphicData uri="http://schemas.openxmlformats.org/drawingml/2006/picture">
                      <pic:pic>
                        <pic:nvPicPr>
                          <pic:cNvPr id="0" name="logo_somexa_original.jpg"/>
                          <pic:cNvPicPr/>
                        </pic:nvPicPr>
                        <pic:blipFill>
                          <a:blip r:embed="rId9"/>
                          <a:stretch>
                            <a:fillRect/>
                          </a:stretch>
                        </pic:blipFill>
                        <pic:spPr>
                          <a:xfrm>
                            <a:off x="0" y="0"/>
                            <a:ext cx="864000" cy="888608"/>
                          </a:xfrm>
                          <a:prstGeom prst="rect"/>
                        </pic:spPr>
                      </pic:pic>
                    </a:graphicData>
                  </a:graphic>
                </wp:inline>
              </w:drawing>
            </w:r>
          </w:p>
        </w:tc>
        <w:tc>
          <w:tcPr>
            <w:tcW w:type="dxa" w:w="3324"/>
          </w:tcPr>
          <w:p>
            <w:r>
              <w:drawing>
                <wp:inline xmlns:a="http://schemas.openxmlformats.org/drawingml/2006/main" xmlns:pic="http://schemas.openxmlformats.org/drawingml/2006/picture">
                  <wp:extent cx="864000" cy="898971"/>
                  <wp:docPr id="2" name="Picture 2"/>
                  <wp:cNvGraphicFramePr>
                    <a:graphicFrameLocks noChangeAspect="1"/>
                  </wp:cNvGraphicFramePr>
                  <a:graphic>
                    <a:graphicData uri="http://schemas.openxmlformats.org/drawingml/2006/picture">
                      <pic:pic>
                        <pic:nvPicPr>
                          <pic:cNvPr id="0" name="logo_uach_web.jpg"/>
                          <pic:cNvPicPr/>
                        </pic:nvPicPr>
                        <pic:blipFill>
                          <a:blip r:embed="rId10"/>
                          <a:stretch>
                            <a:fillRect/>
                          </a:stretch>
                        </pic:blipFill>
                        <pic:spPr>
                          <a:xfrm>
                            <a:off x="0" y="0"/>
                            <a:ext cx="864000" cy="898971"/>
                          </a:xfrm>
                          <a:prstGeom prst="rect"/>
                        </pic:spPr>
                      </pic:pic>
                    </a:graphicData>
                  </a:graphic>
                </wp:inline>
              </w:drawing>
            </w:r>
          </w:p>
        </w:tc>
        <w:tc>
          <w:tcPr>
            <w:tcW w:type="dxa" w:w="3324"/>
          </w:tcPr>
          <w:p>
            <w:r/>
            <w:r>
              <w:rPr>
                <w:rFonts w:ascii="Palatino Linotype" w:hAnsi="Palatino Linotype"/>
                <w:b/>
                <w:color w:val="2F3277"/>
                <w:sz w:val="24"/>
              </w:rPr>
              <w:t>IV Congreso Mexicano de Agroecología 2026</w:t>
            </w:r>
          </w:p>
          <w:p>
            <w:r>
              <w:rPr>
                <w:color w:val="586274"/>
                <w:sz w:val="21"/>
              </w:rPr>
              <w:t>Salida de campo · Ruta 2</w:t>
            </w:r>
          </w:p>
          <w:p>
            <w:r>
              <w:rPr>
                <w:i/>
                <w:color w:val="A8741A"/>
                <w:sz w:val="20"/>
              </w:rPr>
              <w:t>«Ciencia y saber campesino para construir soberanía alimentaria y energética»</w:t>
            </w:r>
          </w:p>
        </w:tc>
      </w:tr>
    </w:tbl>
    <w:p>
      <w:pPr>
        <w:spacing w:before="280" w:after="40"/>
      </w:pPr>
      <w:r>
        <w:rPr>
          <w:rFonts w:ascii="Palatino Linotype" w:hAnsi="Palatino Linotype" w:eastAsia="Palatino Linotype"/>
          <w:b/>
          <w:i w:val="0"/>
          <w:color w:val="A8741A"/>
          <w:sz w:val="20"/>
        </w:rPr>
        <w:t>SOMEXA · SÁBADO 14 DE NOVIEMBRE DE 2026</w:t>
      </w:r>
    </w:p>
    <w:p>
      <w:pPr>
        <w:spacing w:before="0" w:after="0"/>
      </w:pPr>
      <w:r>
        <w:rPr>
          <w:rFonts w:ascii="Palatino Linotype" w:hAnsi="Palatino Linotype" w:eastAsia="Palatino Linotype"/>
          <w:b/>
          <w:i w:val="0"/>
          <w:color w:val="2F3277"/>
          <w:sz w:val="60"/>
        </w:rPr>
        <w:t>Ruta de Altura</w:t>
      </w:r>
    </w:p>
    <w:p>
      <w:pPr>
        <w:spacing w:before="0" w:after="160"/>
      </w:pPr>
      <w:r>
        <w:rPr>
          <w:rFonts w:ascii="Palatino Linotype" w:hAnsi="Palatino Linotype" w:eastAsia="Palatino Linotype"/>
          <w:b w:val="0"/>
          <w:i/>
          <w:color w:val="1B2333"/>
          <w:sz w:val="28"/>
        </w:rPr>
        <w:t>Frutales de montaña y agroecología en las faldas del Citlaltépetl</w:t>
      </w:r>
    </w:p>
    <w:p>
      <w:pPr>
        <w:spacing w:before="0" w:after="80"/>
      </w:pPr>
      <w:r>
        <w:rPr>
          <w:rFonts w:ascii="Palatino Linotype" w:hAnsi="Palatino Linotype" w:eastAsia="Palatino Linotype"/>
          <w:b w:val="0"/>
          <w:i w:val="0"/>
          <w:color w:val="586274"/>
          <w:sz w:val="21"/>
        </w:rPr>
        <w:t>De la montaña cafetalera de Huatusco a la sierra de Chichiquila, Quimixtlán y Chilchotla, en Puebla: kiwi, arándanos y frutillas, huertos agroecológicos, bosque y agua de la cuenca alta del río La Antigua.</w:t>
      </w:r>
    </w:p>
    <w:p>
      <w:pPr>
        <w:spacing w:before="80" w:after="0"/>
      </w:pPr>
      <w:r>
        <w:rPr>
          <w:rFonts w:ascii="Palatino Linotype" w:hAnsi="Palatino Linotype" w:eastAsia="Palatino Linotype"/>
          <w:b/>
          <w:i w:val="0"/>
          <w:color w:val="1B2333"/>
          <w:sz w:val="20"/>
        </w:rPr>
        <w:t>Guía elaborada por Héctor Tecumshé Mojica Zárate, José Gervasio Partida Sedas, Óscar Díaz José, Sergio Alejo Bello y José Orlando Rojas Reyes · Universidad Autónoma Chapingo · Centro Académico Regional Huatusco</w:t>
      </w:r>
    </w:p>
    <w:p>
      <w:pPr>
        <w:spacing w:before="0" w:after="160"/>
      </w:pPr>
      <w:r>
        <w:rPr>
          <w:rFonts w:ascii="Palatino Linotype" w:hAnsi="Palatino Linotype" w:eastAsia="Palatino Linotype"/>
          <w:b w:val="0"/>
          <w:i w:val="0"/>
          <w:color w:val="1B2333"/>
          <w:sz w:val="20"/>
        </w:rPr>
        <w:t>Facilitador del recorrido: Óscar Díaz José · Itinerario: Dr. José Gervasio Partida Sedas</w:t>
      </w:r>
    </w:p>
    <w:tbl>
      <w:tblPr>
        <w:tblW w:type="auto" w:w="0"/>
        <w:tblLook w:firstColumn="1" w:firstRow="1" w:lastColumn="0" w:lastRow="0" w:noHBand="0" w:noVBand="1" w:val="04A0"/>
      </w:tblPr>
      <w:tblGrid>
        <w:gridCol w:w="2493"/>
        <w:gridCol w:w="2493"/>
        <w:gridCol w:w="2493"/>
        <w:gridCol w:w="2493"/>
      </w:tblGrid>
      <w:tr>
        <w:tc>
          <w:tcPr>
            <w:tcW w:type="dxa" w:w="2493"/>
          </w:tcPr>
          <w:p>
            <w:r/>
            <w:r>
              <w:rPr>
                <w:rFonts w:ascii="Palatino Linotype" w:hAnsi="Palatino Linotype"/>
                <w:b/>
                <w:color w:val="2F3277"/>
                <w:sz w:val="28"/>
              </w:rPr>
              <w:t>07:00</w:t>
            </w:r>
          </w:p>
        </w:tc>
        <w:tc>
          <w:tcPr>
            <w:tcW w:type="dxa" w:w="2493"/>
          </w:tcPr>
          <w:p>
            <w:r/>
            <w:r>
              <w:rPr>
                <w:rFonts w:ascii="Palatino Linotype" w:hAnsi="Palatino Linotype"/>
                <w:b/>
                <w:color w:val="2F3277"/>
                <w:sz w:val="28"/>
              </w:rPr>
              <w:t>165 km</w:t>
            </w:r>
          </w:p>
        </w:tc>
        <w:tc>
          <w:tcPr>
            <w:tcW w:type="dxa" w:w="2493"/>
          </w:tcPr>
          <w:p>
            <w:r/>
            <w:r>
              <w:rPr>
                <w:rFonts w:ascii="Palatino Linotype" w:hAnsi="Palatino Linotype"/>
                <w:b/>
                <w:color w:val="2F3277"/>
                <w:sz w:val="28"/>
              </w:rPr>
              <w:t>1,236 → 2,687 m</w:t>
            </w:r>
          </w:p>
        </w:tc>
        <w:tc>
          <w:tcPr>
            <w:tcW w:type="dxa" w:w="2493"/>
          </w:tcPr>
          <w:p>
            <w:r/>
            <w:r>
              <w:rPr>
                <w:rFonts w:ascii="Palatino Linotype" w:hAnsi="Palatino Linotype"/>
                <w:b/>
                <w:color w:val="2F3277"/>
                <w:sz w:val="28"/>
              </w:rPr>
              <w:t>≈ 18:20</w:t>
            </w:r>
          </w:p>
        </w:tc>
      </w:tr>
      <w:tr>
        <w:tc>
          <w:tcPr>
            <w:tcW w:type="dxa" w:w="2493"/>
          </w:tcPr>
          <w:p>
            <w:r/>
            <w:r>
              <w:rPr>
                <w:rFonts w:ascii="Palatino Linotype" w:hAnsi="Palatino Linotype"/>
                <w:b w:val="0"/>
                <w:color w:val="586274"/>
                <w:sz w:val="17"/>
              </w:rPr>
              <w:t>Salida del CAR Huatusco</w:t>
            </w:r>
          </w:p>
        </w:tc>
        <w:tc>
          <w:tcPr>
            <w:tcW w:type="dxa" w:w="2493"/>
          </w:tcPr>
          <w:p>
            <w:r/>
            <w:r>
              <w:rPr>
                <w:rFonts w:ascii="Palatino Linotype" w:hAnsi="Palatino Linotype"/>
                <w:b w:val="0"/>
                <w:color w:val="586274"/>
                <w:sz w:val="17"/>
              </w:rPr>
              <w:t>ida y vuelta por la sierra</w:t>
            </w:r>
          </w:p>
        </w:tc>
        <w:tc>
          <w:tcPr>
            <w:tcW w:type="dxa" w:w="2493"/>
          </w:tcPr>
          <w:p>
            <w:r/>
            <w:r>
              <w:rPr>
                <w:rFonts w:ascii="Palatino Linotype" w:hAnsi="Palatino Linotype"/>
                <w:b w:val="0"/>
                <w:color w:val="586274"/>
                <w:sz w:val="17"/>
              </w:rPr>
              <w:t>altitud del recorrido</w:t>
            </w:r>
          </w:p>
        </w:tc>
        <w:tc>
          <w:tcPr>
            <w:tcW w:type="dxa" w:w="2493"/>
          </w:tcPr>
          <w:p>
            <w:r/>
            <w:r>
              <w:rPr>
                <w:rFonts w:ascii="Palatino Linotype" w:hAnsi="Palatino Linotype"/>
                <w:b w:val="0"/>
                <w:color w:val="586274"/>
                <w:sz w:val="17"/>
              </w:rPr>
              <w:t>regreso a Huatusco</w:t>
            </w:r>
          </w:p>
        </w:tc>
      </w:tr>
    </w:tbl>
    <w:p>
      <w:r>
        <w:rPr>
          <w:rFonts w:ascii="Palatino Linotype" w:hAnsi="Palatino Linotype" w:eastAsia="Palatino Linotype"/>
        </w:rPr>
        <w:drawing>
          <wp:inline xmlns:a="http://schemas.openxmlformats.org/drawingml/2006/main" xmlns:pic="http://schemas.openxmlformats.org/drawingml/2006/picture">
            <wp:extent cx="6300000" cy="3691800"/>
            <wp:docPr id="3" name="Picture 3"/>
            <wp:cNvGraphicFramePr>
              <a:graphicFrameLocks noChangeAspect="1"/>
            </wp:cNvGraphicFramePr>
            <a:graphic>
              <a:graphicData uri="http://schemas.openxmlformats.org/drawingml/2006/picture">
                <pic:pic>
                  <pic:nvPicPr>
                    <pic:cNvPr id="0" name="mapa_ruta2.png"/>
                    <pic:cNvPicPr/>
                  </pic:nvPicPr>
                  <pic:blipFill>
                    <a:blip r:embed="rId11"/>
                    <a:stretch>
                      <a:fillRect/>
                    </a:stretch>
                  </pic:blipFill>
                  <pic:spPr>
                    <a:xfrm>
                      <a:off x="0" y="0"/>
                      <a:ext cx="6300000" cy="3691800"/>
                    </a:xfrm>
                    <a:prstGeom prst="rect"/>
                  </pic:spPr>
                </pic:pic>
              </a:graphicData>
            </a:graphic>
          </wp:inline>
        </w:drawing>
      </w:r>
    </w:p>
    <w:p>
      <w:pPr>
        <w:spacing w:before="0" w:after="80"/>
      </w:pPr>
      <w:r>
        <w:rPr>
          <w:rFonts w:ascii="Palatino Linotype" w:hAnsi="Palatino Linotype" w:eastAsia="Palatino Linotype"/>
          <w:b w:val="0"/>
          <w:i/>
          <w:color w:val="586274"/>
          <w:sz w:val="17"/>
        </w:rPr>
        <w:t>Mapa de la ruta. S: salida; 1 a 5: sitios en el orden de visita. Relieve SRTM; carreteras de OpenStreetMap.</w:t>
      </w:r>
    </w:p>
    <w:p>
      <w:r>
        <w:rPr>
          <w:rFonts w:ascii="Palatino Linotype" w:hAnsi="Palatino Linotype" w:eastAsia="Palatino Linotype"/>
        </w:rPr>
        <w:br w:type="page"/>
      </w:r>
    </w:p>
    <w:p>
      <w:pPr>
        <w:keepNext/>
        <w:spacing w:before="0" w:after="100"/>
      </w:pPr>
      <w:r>
        <w:rPr>
          <w:rFonts w:ascii="Palatino Linotype" w:hAnsi="Palatino Linotype" w:eastAsia="Palatino Linotype"/>
          <w:b/>
          <w:i w:val="0"/>
          <w:color w:val="2F3277"/>
          <w:sz w:val="36"/>
        </w:rPr>
        <w:t>Itinerario</w:t>
      </w:r>
    </w:p>
    <w:tbl>
      <w:tblPr>
        <w:tblStyle w:val="TableGrid"/>
        <w:tblW w:type="auto" w:w="0"/>
        <w:tblLook w:firstColumn="1" w:firstRow="1" w:lastColumn="0" w:lastRow="0" w:noHBand="0" w:noVBand="1" w:val="04A0"/>
      </w:tblPr>
      <w:tblGrid>
        <w:gridCol w:w="2493"/>
        <w:gridCol w:w="2493"/>
        <w:gridCol w:w="2493"/>
        <w:gridCol w:w="2493"/>
      </w:tblGrid>
      <w:tr>
        <w:tc>
          <w:tcPr>
            <w:tcW w:type="dxa" w:w="1361"/>
            <w:shd w:val="clear" w:color="auto" w:fill="2F3277"/>
          </w:tcPr>
          <w:p>
            <w:r/>
            <w:r>
              <w:rPr>
                <w:rFonts w:ascii="Palatino Linotype" w:hAnsi="Palatino Linotype"/>
                <w:b/>
                <w:color w:val="FFFFFF"/>
                <w:sz w:val="19"/>
              </w:rPr>
              <w:t>Hora</w:t>
            </w:r>
          </w:p>
        </w:tc>
        <w:tc>
          <w:tcPr>
            <w:tcW w:type="dxa" w:w="3742"/>
            <w:shd w:val="clear" w:color="auto" w:fill="2F3277"/>
          </w:tcPr>
          <w:p>
            <w:r/>
            <w:r>
              <w:rPr>
                <w:rFonts w:ascii="Palatino Linotype" w:hAnsi="Palatino Linotype"/>
                <w:b/>
                <w:color w:val="FFFFFF"/>
                <w:sz w:val="19"/>
              </w:rPr>
              <w:t>Actividad</w:t>
            </w:r>
          </w:p>
        </w:tc>
        <w:tc>
          <w:tcPr>
            <w:tcW w:type="dxa" w:w="3288"/>
            <w:shd w:val="clear" w:color="auto" w:fill="2F3277"/>
          </w:tcPr>
          <w:p>
            <w:r/>
            <w:r>
              <w:rPr>
                <w:rFonts w:ascii="Palatino Linotype" w:hAnsi="Palatino Linotype"/>
                <w:b/>
                <w:color w:val="FFFFFF"/>
                <w:sz w:val="19"/>
              </w:rPr>
              <w:t>Lugar</w:t>
            </w:r>
          </w:p>
        </w:tc>
        <w:tc>
          <w:tcPr>
            <w:tcW w:type="dxa" w:w="1417"/>
            <w:shd w:val="clear" w:color="auto" w:fill="2F3277"/>
          </w:tcPr>
          <w:p>
            <w:r/>
            <w:r>
              <w:rPr>
                <w:rFonts w:ascii="Palatino Linotype" w:hAnsi="Palatino Linotype"/>
                <w:b/>
                <w:color w:val="FFFFFF"/>
                <w:sz w:val="19"/>
              </w:rPr>
              <w:t>Altitud</w:t>
            </w:r>
          </w:p>
        </w:tc>
      </w:tr>
      <w:tr>
        <w:tc>
          <w:tcPr>
            <w:tcW w:type="dxa" w:w="1361"/>
          </w:tcPr>
          <w:p>
            <w:r/>
            <w:r>
              <w:rPr>
                <w:rFonts w:ascii="Palatino Linotype" w:hAnsi="Palatino Linotype"/>
                <w:b/>
                <w:color w:val="1B2333"/>
                <w:sz w:val="19"/>
              </w:rPr>
              <w:t>07:00</w:t>
            </w:r>
          </w:p>
        </w:tc>
        <w:tc>
          <w:tcPr>
            <w:tcW w:type="dxa" w:w="3742"/>
          </w:tcPr>
          <w:p>
            <w:r/>
            <w:r>
              <w:rPr>
                <w:rFonts w:ascii="Palatino Linotype" w:hAnsi="Palatino Linotype"/>
                <w:b/>
                <w:color w:val="1B2333"/>
                <w:sz w:val="19"/>
              </w:rPr>
              <w:t>Centro Académico Regional Huatusco</w:t>
            </w:r>
          </w:p>
          <w:p>
            <w:r>
              <w:rPr>
                <w:sz w:val="18"/>
              </w:rPr>
              <w:t>Punto de reunión y salida puntual del autobús.</w:t>
            </w:r>
          </w:p>
        </w:tc>
        <w:tc>
          <w:tcPr>
            <w:tcW w:type="dxa" w:w="3288"/>
          </w:tcPr>
          <w:p>
            <w:r/>
            <w:r>
              <w:rPr>
                <w:rFonts w:ascii="Palatino Linotype" w:hAnsi="Palatino Linotype"/>
                <w:b w:val="0"/>
                <w:color w:val="1B2333"/>
                <w:sz w:val="18"/>
              </w:rPr>
              <w:t>Huatusco, Veracruz</w:t>
            </w:r>
          </w:p>
        </w:tc>
        <w:tc>
          <w:tcPr>
            <w:tcW w:type="dxa" w:w="1417"/>
          </w:tcPr>
          <w:p>
            <w:r/>
            <w:r>
              <w:rPr>
                <w:rFonts w:ascii="Palatino Linotype" w:hAnsi="Palatino Linotype"/>
                <w:b w:val="0"/>
                <w:color w:val="1B2333"/>
                <w:sz w:val="18"/>
              </w:rPr>
              <w:t>1,341 m</w:t>
            </w:r>
          </w:p>
        </w:tc>
      </w:tr>
      <w:tr>
        <w:tc>
          <w:tcPr>
            <w:tcW w:type="dxa" w:w="1361"/>
            <w:shd w:val="clear" w:color="auto" w:fill="F3F4F8"/>
          </w:tcPr>
          <w:p>
            <w:r/>
            <w:r>
              <w:rPr>
                <w:rFonts w:ascii="Palatino Linotype" w:hAnsi="Palatino Linotype"/>
                <w:b w:val="0"/>
                <w:color w:val="586274"/>
                <w:sz w:val="18"/>
              </w:rPr>
              <w:t>07:00–07:30</w:t>
            </w:r>
          </w:p>
        </w:tc>
        <w:tc>
          <w:tcPr>
            <w:tcW w:type="dxa" w:w="3742"/>
            <w:shd w:val="clear" w:color="auto" w:fill="F3F4F8"/>
          </w:tcPr>
          <w:p>
            <w:r/>
            <w:r>
              <w:rPr>
                <w:rFonts w:ascii="Palatino Linotype" w:hAnsi="Palatino Linotype"/>
                <w:b w:val="0"/>
                <w:color w:val="586274"/>
                <w:sz w:val="18"/>
              </w:rPr>
              <w:t>Traslado · 19.7 km · 30 min</w:t>
            </w:r>
          </w:p>
        </w:tc>
        <w:tc>
          <w:tcPr>
            <w:tcW w:type="dxa" w:w="3288"/>
            <w:shd w:val="clear" w:color="auto" w:fill="F3F4F8"/>
          </w:tcPr>
          <w:p>
            <w:r/>
            <w:r>
              <w:rPr>
                <w:rFonts w:ascii="Palatino Linotype" w:hAnsi="Palatino Linotype"/>
                <w:b w:val="0"/>
                <w:color w:val="586274"/>
                <w:sz w:val="17"/>
              </w:rPr>
              <w:t>Se sale de Huatusco por Elotepec y se sube de la zona cafetalera a la montaña húmeda, con neblina frecuente por la mañana.</w:t>
            </w:r>
          </w:p>
        </w:tc>
        <w:tc>
          <w:tcPr>
            <w:tcW w:type="dxa" w:w="1417"/>
            <w:shd w:val="clear" w:color="auto" w:fill="F3F4F8"/>
          </w:tcPr>
          <w:p>
            <w:r/>
            <w:r>
              <w:rPr>
                <w:rFonts w:ascii="Palatino Linotype" w:hAnsi="Palatino Linotype"/>
                <w:b w:val="0"/>
                <w:color w:val="586274"/>
                <w:sz w:val="17"/>
              </w:rPr>
              <w:t>1,235–1,900 m</w:t>
            </w:r>
          </w:p>
        </w:tc>
      </w:tr>
      <w:tr>
        <w:tc>
          <w:tcPr>
            <w:tcW w:type="dxa" w:w="1361"/>
          </w:tcPr>
          <w:p>
            <w:r/>
            <w:r>
              <w:rPr>
                <w:rFonts w:ascii="Palatino Linotype" w:hAnsi="Palatino Linotype"/>
                <w:b/>
                <w:color w:val="1B2333"/>
                <w:sz w:val="19"/>
              </w:rPr>
              <w:t>07:30–09:00</w:t>
            </w:r>
          </w:p>
        </w:tc>
        <w:tc>
          <w:tcPr>
            <w:tcW w:type="dxa" w:w="3742"/>
          </w:tcPr>
          <w:p>
            <w:r/>
            <w:r>
              <w:rPr>
                <w:rFonts w:ascii="Palatino Linotype" w:hAnsi="Palatino Linotype"/>
                <w:b/>
                <w:color w:val="1B2333"/>
                <w:sz w:val="19"/>
              </w:rPr>
              <w:t>1. Huerto de kiwi de Elotepec</w:t>
            </w:r>
          </w:p>
          <w:p>
            <w:r>
              <w:rPr>
                <w:sz w:val="18"/>
              </w:rPr>
              <w:t>Recorrido por el huerto de kiwi con su investigador y productor.</w:t>
            </w:r>
          </w:p>
          <w:p>
            <w:r>
              <w:rPr>
                <w:i/>
                <w:sz w:val="18"/>
              </w:rPr>
              <w:t>Expone: Dr. Juan Guillermo Cruz Castillo (Universidad Autónoma Chapingo)</w:t>
            </w:r>
          </w:p>
        </w:tc>
        <w:tc>
          <w:tcPr>
            <w:tcW w:type="dxa" w:w="3288"/>
          </w:tcPr>
          <w:p>
            <w:r/>
            <w:r>
              <w:rPr>
                <w:rFonts w:ascii="Palatino Linotype" w:hAnsi="Palatino Linotype"/>
                <w:b w:val="0"/>
                <w:color w:val="1B2333"/>
                <w:sz w:val="18"/>
              </w:rPr>
              <w:t>Rancho Nuevo, Chichiquila, Puebla (junto a Elotepec, Huatusco)</w:t>
            </w:r>
          </w:p>
        </w:tc>
        <w:tc>
          <w:tcPr>
            <w:tcW w:type="dxa" w:w="1417"/>
          </w:tcPr>
          <w:p>
            <w:r/>
            <w:r>
              <w:rPr>
                <w:rFonts w:ascii="Palatino Linotype" w:hAnsi="Palatino Linotype"/>
                <w:b w:val="0"/>
                <w:color w:val="1B2333"/>
                <w:sz w:val="18"/>
              </w:rPr>
              <w:t>1,840 m</w:t>
            </w:r>
          </w:p>
        </w:tc>
      </w:tr>
      <w:tr>
        <w:tc>
          <w:tcPr>
            <w:tcW w:type="dxa" w:w="1361"/>
            <w:shd w:val="clear" w:color="auto" w:fill="F3F4F8"/>
          </w:tcPr>
          <w:p>
            <w:r/>
            <w:r>
              <w:rPr>
                <w:rFonts w:ascii="Palatino Linotype" w:hAnsi="Palatino Linotype"/>
                <w:b w:val="0"/>
                <w:color w:val="586274"/>
                <w:sz w:val="18"/>
              </w:rPr>
              <w:t>09:00–10:00</w:t>
            </w:r>
          </w:p>
        </w:tc>
        <w:tc>
          <w:tcPr>
            <w:tcW w:type="dxa" w:w="3742"/>
            <w:shd w:val="clear" w:color="auto" w:fill="F3F4F8"/>
          </w:tcPr>
          <w:p>
            <w:r/>
            <w:r>
              <w:rPr>
                <w:rFonts w:ascii="Palatino Linotype" w:hAnsi="Palatino Linotype"/>
                <w:b w:val="0"/>
                <w:color w:val="586274"/>
                <w:sz w:val="18"/>
              </w:rPr>
              <w:t>Traslado · 40.3 km · 60 min</w:t>
            </w:r>
          </w:p>
        </w:tc>
        <w:tc>
          <w:tcPr>
            <w:tcW w:type="dxa" w:w="3288"/>
            <w:shd w:val="clear" w:color="auto" w:fill="F3F4F8"/>
          </w:tcPr>
          <w:p>
            <w:r/>
            <w:r>
              <w:rPr>
                <w:rFonts w:ascii="Palatino Linotype" w:hAnsi="Palatino Linotype"/>
                <w:b w:val="0"/>
                <w:color w:val="586274"/>
                <w:sz w:val="17"/>
              </w:rPr>
              <w:t>El tramo más largo: se cruza la sierra de Chichiquila y Quimixtlán, con barrancas profundas, milpas en ladera y bosque de pino y encino.</w:t>
            </w:r>
          </w:p>
        </w:tc>
        <w:tc>
          <w:tcPr>
            <w:tcW w:type="dxa" w:w="1417"/>
            <w:shd w:val="clear" w:color="auto" w:fill="F3F4F8"/>
          </w:tcPr>
          <w:p>
            <w:r/>
            <w:r>
              <w:rPr>
                <w:rFonts w:ascii="Palatino Linotype" w:hAnsi="Palatino Linotype"/>
                <w:b w:val="0"/>
                <w:color w:val="586274"/>
                <w:sz w:val="17"/>
              </w:rPr>
              <w:t>1,423–2,451 m</w:t>
            </w:r>
          </w:p>
        </w:tc>
      </w:tr>
      <w:tr>
        <w:tc>
          <w:tcPr>
            <w:tcW w:type="dxa" w:w="1361"/>
          </w:tcPr>
          <w:p>
            <w:r/>
            <w:r>
              <w:rPr>
                <w:rFonts w:ascii="Palatino Linotype" w:hAnsi="Palatino Linotype"/>
                <w:b/>
                <w:color w:val="1B2333"/>
                <w:sz w:val="19"/>
              </w:rPr>
              <w:t>10:00–10:50</w:t>
            </w:r>
          </w:p>
        </w:tc>
        <w:tc>
          <w:tcPr>
            <w:tcW w:type="dxa" w:w="3742"/>
          </w:tcPr>
          <w:p>
            <w:r/>
            <w:r>
              <w:rPr>
                <w:rFonts w:ascii="Palatino Linotype" w:hAnsi="Palatino Linotype"/>
                <w:b/>
                <w:color w:val="1B2333"/>
                <w:sz w:val="19"/>
              </w:rPr>
              <w:t>2. Cascada de Chilchotla: desayuno</w:t>
            </w:r>
          </w:p>
          <w:p>
            <w:r>
              <w:rPr>
                <w:sz w:val="18"/>
              </w:rPr>
              <w:t>Desayuno junto a la cascada, entre bosque de pino y encino; hay un puente colgante y una poza.</w:t>
            </w:r>
          </w:p>
        </w:tc>
        <w:tc>
          <w:tcPr>
            <w:tcW w:type="dxa" w:w="3288"/>
          </w:tcPr>
          <w:p>
            <w:r/>
            <w:r>
              <w:rPr>
                <w:rFonts w:ascii="Palatino Linotype" w:hAnsi="Palatino Linotype"/>
                <w:b w:val="0"/>
                <w:color w:val="1B2333"/>
                <w:sz w:val="18"/>
              </w:rPr>
              <w:t>La Cascada, Teteltitla, Chilchotla, Puebla</w:t>
            </w:r>
          </w:p>
        </w:tc>
        <w:tc>
          <w:tcPr>
            <w:tcW w:type="dxa" w:w="1417"/>
          </w:tcPr>
          <w:p>
            <w:r/>
            <w:r>
              <w:rPr>
                <w:rFonts w:ascii="Palatino Linotype" w:hAnsi="Palatino Linotype"/>
                <w:b w:val="0"/>
                <w:color w:val="1B2333"/>
                <w:sz w:val="18"/>
              </w:rPr>
              <w:t>2,117 m</w:t>
            </w:r>
          </w:p>
        </w:tc>
      </w:tr>
      <w:tr>
        <w:tc>
          <w:tcPr>
            <w:tcW w:type="dxa" w:w="1361"/>
            <w:shd w:val="clear" w:color="auto" w:fill="F3F4F8"/>
          </w:tcPr>
          <w:p>
            <w:r/>
            <w:r>
              <w:rPr>
                <w:rFonts w:ascii="Palatino Linotype" w:hAnsi="Palatino Linotype"/>
                <w:b w:val="0"/>
                <w:color w:val="586274"/>
                <w:sz w:val="18"/>
              </w:rPr>
              <w:t>10:50–11:00</w:t>
            </w:r>
          </w:p>
        </w:tc>
        <w:tc>
          <w:tcPr>
            <w:tcW w:type="dxa" w:w="3742"/>
            <w:shd w:val="clear" w:color="auto" w:fill="F3F4F8"/>
          </w:tcPr>
          <w:p>
            <w:r/>
            <w:r>
              <w:rPr>
                <w:rFonts w:ascii="Palatino Linotype" w:hAnsi="Palatino Linotype"/>
                <w:b w:val="0"/>
                <w:color w:val="586274"/>
                <w:sz w:val="18"/>
              </w:rPr>
              <w:t>Traslado · 4.4 km · 10 min</w:t>
            </w:r>
          </w:p>
        </w:tc>
        <w:tc>
          <w:tcPr>
            <w:tcW w:type="dxa" w:w="3288"/>
            <w:shd w:val="clear" w:color="auto" w:fill="F3F4F8"/>
          </w:tcPr>
          <w:p>
            <w:r/>
            <w:r>
              <w:rPr>
                <w:rFonts w:ascii="Palatino Linotype" w:hAnsi="Palatino Linotype"/>
                <w:b w:val="0"/>
                <w:color w:val="586274"/>
                <w:sz w:val="17"/>
              </w:rPr>
              <w:t>Tramo corto hacia el centro de Chilchotla.</w:t>
            </w:r>
          </w:p>
        </w:tc>
        <w:tc>
          <w:tcPr>
            <w:tcW w:type="dxa" w:w="1417"/>
            <w:shd w:val="clear" w:color="auto" w:fill="F3F4F8"/>
          </w:tcPr>
          <w:p>
            <w:r/>
            <w:r>
              <w:rPr>
                <w:rFonts w:ascii="Palatino Linotype" w:hAnsi="Palatino Linotype"/>
                <w:b w:val="0"/>
                <w:color w:val="586274"/>
                <w:sz w:val="17"/>
              </w:rPr>
              <w:t>2,128–2,370 m</w:t>
            </w:r>
          </w:p>
        </w:tc>
      </w:tr>
      <w:tr>
        <w:tc>
          <w:tcPr>
            <w:tcW w:type="dxa" w:w="1361"/>
          </w:tcPr>
          <w:p>
            <w:r/>
            <w:r>
              <w:rPr>
                <w:rFonts w:ascii="Palatino Linotype" w:hAnsi="Palatino Linotype"/>
                <w:b/>
                <w:color w:val="1B2333"/>
                <w:sz w:val="19"/>
              </w:rPr>
              <w:t>11:00–11:50</w:t>
            </w:r>
          </w:p>
        </w:tc>
        <w:tc>
          <w:tcPr>
            <w:tcW w:type="dxa" w:w="3742"/>
          </w:tcPr>
          <w:p>
            <w:r/>
            <w:r>
              <w:rPr>
                <w:rFonts w:ascii="Palatino Linotype" w:hAnsi="Palatino Linotype"/>
                <w:b/>
                <w:color w:val="1B2333"/>
                <w:sz w:val="19"/>
              </w:rPr>
              <w:t>3. Universidad Interserrana del Estado de Puebla</w:t>
            </w:r>
          </w:p>
          <w:p>
            <w:r>
              <w:rPr>
                <w:sz w:val="18"/>
              </w:rPr>
              <w:t>Visita a la universidad pública de la sierra: formación de jóvenes de la región y su vínculo con las comunidades.</w:t>
            </w:r>
          </w:p>
        </w:tc>
        <w:tc>
          <w:tcPr>
            <w:tcW w:type="dxa" w:w="3288"/>
          </w:tcPr>
          <w:p>
            <w:r/>
            <w:r>
              <w:rPr>
                <w:rFonts w:ascii="Palatino Linotype" w:hAnsi="Palatino Linotype"/>
                <w:b w:val="0"/>
                <w:color w:val="1B2333"/>
                <w:sz w:val="18"/>
              </w:rPr>
              <w:t>Chilchotla, Puebla (punto de El Carmen)</w:t>
            </w:r>
          </w:p>
        </w:tc>
        <w:tc>
          <w:tcPr>
            <w:tcW w:type="dxa" w:w="1417"/>
          </w:tcPr>
          <w:p>
            <w:r/>
            <w:r>
              <w:rPr>
                <w:rFonts w:ascii="Palatino Linotype" w:hAnsi="Palatino Linotype"/>
                <w:b w:val="0"/>
                <w:color w:val="1B2333"/>
                <w:sz w:val="18"/>
              </w:rPr>
              <w:t>2,354 m</w:t>
            </w:r>
          </w:p>
        </w:tc>
      </w:tr>
      <w:tr>
        <w:tc>
          <w:tcPr>
            <w:tcW w:type="dxa" w:w="1361"/>
            <w:shd w:val="clear" w:color="auto" w:fill="F3F4F8"/>
          </w:tcPr>
          <w:p>
            <w:r/>
            <w:r>
              <w:rPr>
                <w:rFonts w:ascii="Palatino Linotype" w:hAnsi="Palatino Linotype"/>
                <w:b w:val="0"/>
                <w:color w:val="586274"/>
                <w:sz w:val="18"/>
              </w:rPr>
              <w:t>11:50–12:25</w:t>
            </w:r>
          </w:p>
        </w:tc>
        <w:tc>
          <w:tcPr>
            <w:tcW w:type="dxa" w:w="3742"/>
            <w:shd w:val="clear" w:color="auto" w:fill="F3F4F8"/>
          </w:tcPr>
          <w:p>
            <w:r/>
            <w:r>
              <w:rPr>
                <w:rFonts w:ascii="Palatino Linotype" w:hAnsi="Palatino Linotype"/>
                <w:b w:val="0"/>
                <w:color w:val="586274"/>
                <w:sz w:val="18"/>
              </w:rPr>
              <w:t>Traslado · 9.9 km · 35 min</w:t>
            </w:r>
          </w:p>
        </w:tc>
        <w:tc>
          <w:tcPr>
            <w:tcW w:type="dxa" w:w="3288"/>
            <w:shd w:val="clear" w:color="auto" w:fill="F3F4F8"/>
          </w:tcPr>
          <w:p>
            <w:r/>
            <w:r>
              <w:rPr>
                <w:rFonts w:ascii="Palatino Linotype" w:hAnsi="Palatino Linotype"/>
                <w:b w:val="0"/>
                <w:color w:val="586274"/>
                <w:sz w:val="17"/>
              </w:rPr>
              <w:t>Se regresa por la sierra hacia Alta Luz, en Quimixtlán.</w:t>
            </w:r>
          </w:p>
        </w:tc>
        <w:tc>
          <w:tcPr>
            <w:tcW w:type="dxa" w:w="1417"/>
            <w:shd w:val="clear" w:color="auto" w:fill="F3F4F8"/>
          </w:tcPr>
          <w:p>
            <w:r/>
            <w:r>
              <w:rPr>
                <w:rFonts w:ascii="Palatino Linotype" w:hAnsi="Palatino Linotype"/>
                <w:b w:val="0"/>
                <w:color w:val="586274"/>
                <w:sz w:val="17"/>
              </w:rPr>
              <w:t>2,362–2,688 m</w:t>
            </w:r>
          </w:p>
        </w:tc>
      </w:tr>
      <w:tr>
        <w:tc>
          <w:tcPr>
            <w:tcW w:type="dxa" w:w="1361"/>
          </w:tcPr>
          <w:p>
            <w:r/>
            <w:r>
              <w:rPr>
                <w:rFonts w:ascii="Palatino Linotype" w:hAnsi="Palatino Linotype"/>
                <w:b/>
                <w:color w:val="1B2333"/>
                <w:sz w:val="19"/>
              </w:rPr>
              <w:t>12:25–13:50</w:t>
            </w:r>
          </w:p>
        </w:tc>
        <w:tc>
          <w:tcPr>
            <w:tcW w:type="dxa" w:w="3742"/>
          </w:tcPr>
          <w:p>
            <w:r/>
            <w:r>
              <w:rPr>
                <w:rFonts w:ascii="Palatino Linotype" w:hAnsi="Palatino Linotype"/>
                <w:b/>
                <w:color w:val="1B2333"/>
                <w:sz w:val="19"/>
              </w:rPr>
              <w:t>4. Huerto agroecológico Ranchito Azul: arándanos y frutillas</w:t>
            </w:r>
          </w:p>
          <w:p>
            <w:r>
              <w:rPr>
                <w:sz w:val="18"/>
              </w:rPr>
              <w:t>Recorrido por el huerto agroecológico de arándanos y frutillas (zarzamora, frambuesa, fresa).</w:t>
            </w:r>
          </w:p>
        </w:tc>
        <w:tc>
          <w:tcPr>
            <w:tcW w:type="dxa" w:w="3288"/>
          </w:tcPr>
          <w:p>
            <w:r/>
            <w:r>
              <w:rPr>
                <w:rFonts w:ascii="Palatino Linotype" w:hAnsi="Palatino Linotype"/>
                <w:b w:val="0"/>
                <w:color w:val="1B2333"/>
                <w:sz w:val="18"/>
              </w:rPr>
              <w:t>Alta Luz, Quimixtlán, Puebla</w:t>
            </w:r>
          </w:p>
        </w:tc>
        <w:tc>
          <w:tcPr>
            <w:tcW w:type="dxa" w:w="1417"/>
          </w:tcPr>
          <w:p>
            <w:r/>
            <w:r>
              <w:rPr>
                <w:rFonts w:ascii="Palatino Linotype" w:hAnsi="Palatino Linotype"/>
                <w:b w:val="0"/>
                <w:color w:val="1B2333"/>
                <w:sz w:val="18"/>
              </w:rPr>
              <w:t>2,627 m</w:t>
            </w:r>
          </w:p>
        </w:tc>
      </w:tr>
      <w:tr>
        <w:tc>
          <w:tcPr>
            <w:tcW w:type="dxa" w:w="1361"/>
            <w:shd w:val="clear" w:color="auto" w:fill="F3F4F8"/>
          </w:tcPr>
          <w:p>
            <w:r/>
            <w:r>
              <w:rPr>
                <w:rFonts w:ascii="Palatino Linotype" w:hAnsi="Palatino Linotype"/>
                <w:b w:val="0"/>
                <w:color w:val="586274"/>
                <w:sz w:val="18"/>
              </w:rPr>
              <w:t>13:50–14:35</w:t>
            </w:r>
          </w:p>
        </w:tc>
        <w:tc>
          <w:tcPr>
            <w:tcW w:type="dxa" w:w="3742"/>
            <w:shd w:val="clear" w:color="auto" w:fill="F3F4F8"/>
          </w:tcPr>
          <w:p>
            <w:r/>
            <w:r>
              <w:rPr>
                <w:rFonts w:ascii="Palatino Linotype" w:hAnsi="Palatino Linotype"/>
                <w:b w:val="0"/>
                <w:color w:val="586274"/>
                <w:sz w:val="18"/>
              </w:rPr>
              <w:t>Traslado · 25.1 km · 45 min</w:t>
            </w:r>
          </w:p>
        </w:tc>
        <w:tc>
          <w:tcPr>
            <w:tcW w:type="dxa" w:w="3288"/>
            <w:shd w:val="clear" w:color="auto" w:fill="F3F4F8"/>
          </w:tcPr>
          <w:p>
            <w:r/>
            <w:r>
              <w:rPr>
                <w:rFonts w:ascii="Palatino Linotype" w:hAnsi="Palatino Linotype"/>
                <w:b w:val="0"/>
                <w:color w:val="586274"/>
                <w:sz w:val="17"/>
              </w:rPr>
              <w:t>Se sube al punto más alto de la ruta, Acocomotla, por lomas frías con pinos y parcelas de haba, maíz y papa.</w:t>
            </w:r>
          </w:p>
        </w:tc>
        <w:tc>
          <w:tcPr>
            <w:tcW w:type="dxa" w:w="1417"/>
            <w:shd w:val="clear" w:color="auto" w:fill="F3F4F8"/>
          </w:tcPr>
          <w:p>
            <w:r/>
            <w:r>
              <w:rPr>
                <w:rFonts w:ascii="Palatino Linotype" w:hAnsi="Palatino Linotype"/>
                <w:b w:val="0"/>
                <w:color w:val="586274"/>
                <w:sz w:val="17"/>
              </w:rPr>
              <w:t>1,848–2,665 m</w:t>
            </w:r>
          </w:p>
        </w:tc>
      </w:tr>
      <w:tr>
        <w:tc>
          <w:tcPr>
            <w:tcW w:type="dxa" w:w="1361"/>
          </w:tcPr>
          <w:p>
            <w:r/>
            <w:r>
              <w:rPr>
                <w:rFonts w:ascii="Palatino Linotype" w:hAnsi="Palatino Linotype"/>
                <w:b/>
                <w:color w:val="1B2333"/>
                <w:sz w:val="19"/>
              </w:rPr>
              <w:t>14:35–16:40</w:t>
            </w:r>
          </w:p>
        </w:tc>
        <w:tc>
          <w:tcPr>
            <w:tcW w:type="dxa" w:w="3742"/>
          </w:tcPr>
          <w:p>
            <w:r/>
            <w:r>
              <w:rPr>
                <w:rFonts w:ascii="Palatino Linotype" w:hAnsi="Palatino Linotype"/>
                <w:b/>
                <w:color w:val="1B2333"/>
                <w:sz w:val="19"/>
              </w:rPr>
              <w:t>5. Huerto agroecológico Un Mundo Raro y comida típica</w:t>
            </w:r>
          </w:p>
          <w:p>
            <w:r>
              <w:rPr>
                <w:sz w:val="18"/>
              </w:rPr>
              <w:t>Recorrido por el huerto agroecológico Un Mundo Raro y comida típica de la sierra.</w:t>
            </w:r>
          </w:p>
        </w:tc>
        <w:tc>
          <w:tcPr>
            <w:tcW w:type="dxa" w:w="3288"/>
          </w:tcPr>
          <w:p>
            <w:r/>
            <w:r>
              <w:rPr>
                <w:rFonts w:ascii="Palatino Linotype" w:hAnsi="Palatino Linotype"/>
                <w:b w:val="0"/>
                <w:color w:val="1B2333"/>
                <w:sz w:val="18"/>
              </w:rPr>
              <w:t>Acocomotla, Chilchotla, Puebla</w:t>
            </w:r>
          </w:p>
        </w:tc>
        <w:tc>
          <w:tcPr>
            <w:tcW w:type="dxa" w:w="1417"/>
          </w:tcPr>
          <w:p>
            <w:r/>
            <w:r>
              <w:rPr>
                <w:rFonts w:ascii="Palatino Linotype" w:hAnsi="Palatino Linotype"/>
                <w:b w:val="0"/>
                <w:color w:val="1B2333"/>
                <w:sz w:val="18"/>
              </w:rPr>
              <w:t>2,636 m</w:t>
            </w:r>
          </w:p>
        </w:tc>
      </w:tr>
      <w:tr>
        <w:tc>
          <w:tcPr>
            <w:tcW w:type="dxa" w:w="1361"/>
            <w:shd w:val="clear" w:color="auto" w:fill="F3F4F8"/>
          </w:tcPr>
          <w:p>
            <w:r/>
            <w:r>
              <w:rPr>
                <w:rFonts w:ascii="Palatino Linotype" w:hAnsi="Palatino Linotype"/>
                <w:b w:val="0"/>
                <w:color w:val="586274"/>
                <w:sz w:val="18"/>
              </w:rPr>
              <w:t>16:40–18:20</w:t>
            </w:r>
          </w:p>
        </w:tc>
        <w:tc>
          <w:tcPr>
            <w:tcW w:type="dxa" w:w="3742"/>
            <w:shd w:val="clear" w:color="auto" w:fill="F3F4F8"/>
          </w:tcPr>
          <w:p>
            <w:r/>
            <w:r>
              <w:rPr>
                <w:rFonts w:ascii="Palatino Linotype" w:hAnsi="Palatino Linotype"/>
                <w:b w:val="0"/>
                <w:color w:val="586274"/>
                <w:sz w:val="18"/>
              </w:rPr>
              <w:t>Traslado · 65.6 km · 100 min</w:t>
            </w:r>
          </w:p>
        </w:tc>
        <w:tc>
          <w:tcPr>
            <w:tcW w:type="dxa" w:w="3288"/>
            <w:shd w:val="clear" w:color="auto" w:fill="F3F4F8"/>
          </w:tcPr>
          <w:p>
            <w:r/>
            <w:r>
              <w:rPr>
                <w:rFonts w:ascii="Palatino Linotype" w:hAnsi="Palatino Linotype"/>
                <w:b w:val="0"/>
                <w:color w:val="586274"/>
                <w:sz w:val="17"/>
              </w:rPr>
              <w:t>Regreso a Huatusco por la sierra. Se baja más de 1,200 m; el sol se pone cerca de las 17:50, así que el descenso es con poca luz.</w:t>
            </w:r>
          </w:p>
        </w:tc>
        <w:tc>
          <w:tcPr>
            <w:tcW w:type="dxa" w:w="1417"/>
            <w:shd w:val="clear" w:color="auto" w:fill="F3F4F8"/>
          </w:tcPr>
          <w:p>
            <w:r/>
            <w:r>
              <w:rPr>
                <w:rFonts w:ascii="Palatino Linotype" w:hAnsi="Palatino Linotype"/>
                <w:b w:val="0"/>
                <w:color w:val="586274"/>
                <w:sz w:val="17"/>
              </w:rPr>
              <w:t>1,235–2,665 m</w:t>
            </w:r>
          </w:p>
        </w:tc>
      </w:tr>
      <w:tr>
        <w:tc>
          <w:tcPr>
            <w:tcW w:type="dxa" w:w="1361"/>
          </w:tcPr>
          <w:p>
            <w:r/>
            <w:r>
              <w:rPr>
                <w:rFonts w:ascii="Palatino Linotype" w:hAnsi="Palatino Linotype"/>
                <w:b/>
                <w:color w:val="1B2333"/>
                <w:sz w:val="19"/>
              </w:rPr>
              <w:t>18:20</w:t>
            </w:r>
          </w:p>
        </w:tc>
        <w:tc>
          <w:tcPr>
            <w:tcW w:type="dxa" w:w="3742"/>
          </w:tcPr>
          <w:p>
            <w:r/>
            <w:r>
              <w:rPr>
                <w:rFonts w:ascii="Palatino Linotype" w:hAnsi="Palatino Linotype"/>
                <w:b/>
                <w:color w:val="1B2333"/>
                <w:sz w:val="19"/>
              </w:rPr>
              <w:t>Llegada al CAR Huatusco</w:t>
            </w:r>
          </w:p>
          <w:p>
            <w:r>
              <w:rPr>
                <w:sz w:val="18"/>
              </w:rPr>
              <w:t>Regreso por la misma sierra; se baja más de 1,200 m hasta Huatusco.</w:t>
            </w:r>
          </w:p>
        </w:tc>
        <w:tc>
          <w:tcPr>
            <w:tcW w:type="dxa" w:w="3288"/>
          </w:tcPr>
          <w:p>
            <w:r/>
            <w:r>
              <w:rPr>
                <w:rFonts w:ascii="Palatino Linotype" w:hAnsi="Palatino Linotype"/>
                <w:b w:val="0"/>
                <w:color w:val="1B2333"/>
                <w:sz w:val="18"/>
              </w:rPr>
              <w:t>Huatusco, Veracruz</w:t>
            </w:r>
          </w:p>
        </w:tc>
        <w:tc>
          <w:tcPr>
            <w:tcW w:type="dxa" w:w="1417"/>
          </w:tcPr>
          <w:p>
            <w:r/>
            <w:r>
              <w:rPr>
                <w:rFonts w:ascii="Palatino Linotype" w:hAnsi="Palatino Linotype"/>
                <w:b w:val="0"/>
                <w:color w:val="1B2333"/>
                <w:sz w:val="18"/>
              </w:rPr>
              <w:t>1,341 m</w:t>
            </w:r>
          </w:p>
        </w:tc>
      </w:tr>
    </w:tbl>
    <w:p>
      <w:pPr>
        <w:spacing w:before="80" w:after="80"/>
      </w:pPr>
      <w:r>
        <w:rPr>
          <w:rFonts w:ascii="Palatino Linotype" w:hAnsi="Palatino Linotype" w:eastAsia="Palatino Linotype"/>
          <w:b w:val="0"/>
          <w:i/>
          <w:color w:val="586274"/>
          <w:sz w:val="17"/>
        </w:rPr>
        <w:t>Horarios estimados con los tiempos de OpenStreetMap (OSRM) multiplicados por 1.35 para autobús en caminos de montaña. El sol se pone cerca de las 17:50: el regreso es de noche.</w:t>
      </w:r>
    </w:p>
    <w:p>
      <w:pPr>
        <w:keepNext/>
        <w:spacing w:before="240" w:after="100"/>
      </w:pPr>
      <w:r>
        <w:rPr>
          <w:rFonts w:ascii="Palatino Linotype" w:hAnsi="Palatino Linotype" w:eastAsia="Palatino Linotype"/>
          <w:b/>
          <w:i w:val="0"/>
          <w:color w:val="2F3277"/>
          <w:sz w:val="26"/>
        </w:rPr>
        <w:t>Perfil altitudinal</w:t>
      </w:r>
    </w:p>
    <w:p>
      <w:r>
        <w:rPr>
          <w:rFonts w:ascii="Palatino Linotype" w:hAnsi="Palatino Linotype" w:eastAsia="Palatino Linotype"/>
        </w:rPr>
        <w:drawing>
          <wp:inline xmlns:a="http://schemas.openxmlformats.org/drawingml/2006/main" xmlns:pic="http://schemas.openxmlformats.org/drawingml/2006/picture">
            <wp:extent cx="6300000" cy="2016000"/>
            <wp:docPr id="4" name="Picture 4"/>
            <wp:cNvGraphicFramePr>
              <a:graphicFrameLocks noChangeAspect="1"/>
            </wp:cNvGraphicFramePr>
            <a:graphic>
              <a:graphicData uri="http://schemas.openxmlformats.org/drawingml/2006/picture">
                <pic:pic>
                  <pic:nvPicPr>
                    <pic:cNvPr id="0" name="perfil_ruta2.png"/>
                    <pic:cNvPicPr/>
                  </pic:nvPicPr>
                  <pic:blipFill>
                    <a:blip r:embed="rId12"/>
                    <a:stretch>
                      <a:fillRect/>
                    </a:stretch>
                  </pic:blipFill>
                  <pic:spPr>
                    <a:xfrm>
                      <a:off x="0" y="0"/>
                      <a:ext cx="6300000" cy="2016000"/>
                    </a:xfrm>
                    <a:prstGeom prst="rect"/>
                  </pic:spPr>
                </pic:pic>
              </a:graphicData>
            </a:graphic>
          </wp:inline>
        </w:drawing>
      </w:r>
    </w:p>
    <w:p>
      <w:r>
        <w:rPr>
          <w:rFonts w:ascii="Palatino Linotype" w:hAnsi="Palatino Linotype" w:eastAsia="Palatino Linotype"/>
        </w:rPr>
        <w:br w:type="page"/>
      </w:r>
    </w:p>
    <w:p>
      <w:pPr>
        <w:spacing w:before="0" w:after="0"/>
      </w:pPr>
      <w:r>
        <w:rPr>
          <w:rFonts w:ascii="Palatino Linotype" w:hAnsi="Palatino Linotype" w:eastAsia="Palatino Linotype"/>
          <w:b/>
          <w:i w:val="0"/>
          <w:color w:val="A8741A"/>
          <w:sz w:val="20"/>
        </w:rPr>
        <w:t>Sitio 1 · 07:30 a 09:00</w:t>
      </w:r>
    </w:p>
    <w:p>
      <w:pPr>
        <w:keepNext/>
        <w:spacing w:before="0" w:after="100"/>
      </w:pPr>
      <w:r>
        <w:rPr>
          <w:rFonts w:ascii="Palatino Linotype" w:hAnsi="Palatino Linotype" w:eastAsia="Palatino Linotype"/>
          <w:b/>
          <w:i w:val="0"/>
          <w:color w:val="2F3277"/>
          <w:sz w:val="34"/>
        </w:rPr>
        <w:t>Huerto de kiwi de Elotepec</w:t>
      </w:r>
    </w:p>
    <w:p>
      <w:pPr>
        <w:spacing w:before="0" w:after="80"/>
      </w:pPr>
      <w:r>
        <w:rPr>
          <w:rFonts w:ascii="Palatino Linotype" w:hAnsi="Palatino Linotype" w:eastAsia="Palatino Linotype"/>
          <w:b w:val="0"/>
          <w:i w:val="0"/>
          <w:color w:val="586274"/>
          <w:sz w:val="19"/>
        </w:rPr>
        <w:t>Rancho Nuevo, Chichiquila, Puebla (junto a Elotepec, Huatusco) · 1,840 msnm · 19.17833, -97.05417</w:t>
      </w:r>
    </w:p>
    <w:p>
      <w:pPr>
        <w:spacing w:before="0" w:after="80"/>
      </w:pPr>
      <w:r>
        <w:rPr>
          <w:rFonts w:ascii="Palatino Linotype" w:hAnsi="Palatino Linotype" w:eastAsia="Palatino Linotype"/>
          <w:b w:val="0"/>
          <w:i w:val="0"/>
          <w:color w:val="1B2333"/>
          <w:sz w:val="21"/>
        </w:rPr>
        <w:t>Recorrido por el huerto de kiwi con su investigador y productor.</w:t>
      </w:r>
    </w:p>
    <w:p>
      <w:pPr>
        <w:spacing w:before="0" w:after="80"/>
      </w:pPr>
      <w:r>
        <w:rPr>
          <w:rFonts w:ascii="Palatino Linotype" w:hAnsi="Palatino Linotype" w:eastAsia="Palatino Linotype"/>
          <w:b w:val="0"/>
          <w:i/>
          <w:color w:val="1B2333"/>
          <w:sz w:val="21"/>
        </w:rPr>
        <w:t>Expone: Dr. Juan Guillermo Cruz Castillo (Universidad Autónoma Chapingo)</w:t>
      </w:r>
    </w:p>
    <w:p>
      <w:pPr>
        <w:keepNext/>
        <w:spacing w:before="160" w:after="100"/>
      </w:pPr>
      <w:r>
        <w:rPr>
          <w:rFonts w:ascii="Palatino Linotype" w:hAnsi="Palatino Linotype" w:eastAsia="Palatino Linotype"/>
          <w:b/>
          <w:i w:val="0"/>
          <w:color w:val="A8741A"/>
          <w:sz w:val="24"/>
        </w:rPr>
        <w:t>Identidad del lugar</w:t>
      </w:r>
    </w:p>
    <w:p>
      <w:pPr>
        <w:pStyle w:val="ListBullet"/>
      </w:pPr>
      <w:r>
        <w:rPr>
          <w:rFonts w:ascii="Palatino Linotype" w:hAnsi="Palatino Linotype" w:eastAsia="Palatino Linotype"/>
        </w:rPr>
        <w:t>Elotepec, en náhuatl, se interpreta como «cerro de los elotes»: el maíz está en el nombre del lugar, y el Cerro de Elotepec es uno de los referentes de Huatusco.</w:t>
      </w:r>
    </w:p>
    <w:p>
      <w:pPr>
        <w:pStyle w:val="ListBullet"/>
      </w:pPr>
      <w:r>
        <w:rPr>
          <w:rFonts w:ascii="Palatino Linotype" w:hAnsi="Palatino Linotype" w:eastAsia="Palatino Linotype"/>
        </w:rPr>
        <w:t>Chichiquila significa «lugar donde abunda la hierba amarga» (chichic, amargo; quilitl, quelite): pregunta qué quelites se recolectan y se comen hoy. Su parroquia es la de San Mateo, cuya fiesta es el 21 de septiembre.</w:t>
      </w:r>
    </w:p>
    <w:p>
      <w:pPr>
        <w:pStyle w:val="ListBullet"/>
      </w:pPr>
      <w:r>
        <w:rPr>
          <w:rFonts w:ascii="Palatino Linotype" w:hAnsi="Palatino Linotype" w:eastAsia="Palatino Linotype"/>
        </w:rPr>
        <w:t>La región fue habitada por pueblos nahuas antes de la llegada de los españoles; muchos nombres de lugares, plantas y comidas conservan esa raíz.</w:t>
      </w:r>
    </w:p>
    <w:p>
      <w:pPr>
        <w:keepNext/>
        <w:spacing w:before="160" w:after="100"/>
      </w:pPr>
      <w:r>
        <w:rPr>
          <w:rFonts w:ascii="Palatino Linotype" w:hAnsi="Palatino Linotype" w:eastAsia="Palatino Linotype"/>
          <w:b/>
          <w:i w:val="0"/>
          <w:color w:val="2F3277"/>
          <w:sz w:val="24"/>
        </w:rPr>
        <w:t>Clima local</w:t>
      </w:r>
    </w:p>
    <w:p>
      <w:pPr>
        <w:spacing w:before="0" w:after="80"/>
      </w:pPr>
      <w:r>
        <w:rPr>
          <w:rFonts w:ascii="Palatino Linotype" w:hAnsi="Palatino Linotype" w:eastAsia="Palatino Linotype"/>
          <w:b/>
          <w:color w:val="2F3277"/>
        </w:rPr>
        <w:t xml:space="preserve">Fórmula climática: C(f)b(i')g. </w:t>
      </w:r>
      <w:r>
        <w:rPr>
          <w:rFonts w:ascii="Palatino Linotype" w:hAnsi="Palatino Linotype" w:eastAsia="Palatino Linotype"/>
        </w:rPr>
        <w:t>Templado húmedo con lluvias todo el año. La temperatura media anual es de 14.5 °C: el mes más fresco es enero (11.4 °C) y el más cálido mayo (16.7 °C). Llueven 1,982 mm al año, 82 % de ellos entre mayo y octubre; ningún mes es seco: la neblina y las lloviznas de invierno mantienen la humedad. Las madrugadas de invierno son frías (mínima media de 5.8 °C) y puede helar algunos días.</w:t>
      </w:r>
    </w:p>
    <w:p>
      <w:pPr>
        <w:spacing w:before="0" w:after="80"/>
      </w:pPr>
      <w:r>
        <w:rPr>
          <w:rFonts w:ascii="Palatino Linotype" w:hAnsi="Palatino Linotype" w:eastAsia="Palatino Linotype"/>
          <w:b w:val="0"/>
          <w:i/>
          <w:color w:val="586274"/>
          <w:sz w:val="17"/>
        </w:rPr>
        <w:t>Lluvia: SMN, estación Elotepec (CFE), clave 30052, Huatusco (1961-1990). Temperatura estimada para 1,840 m con el gradiente altitudinal entre Centro Regional Huatusco (1,186 m) y Tembladeras (3,102 m), SMN 1991-2020.</w:t>
      </w:r>
    </w:p>
    <w:p>
      <w:pPr>
        <w:keepNext/>
        <w:spacing w:before="160" w:after="100"/>
      </w:pPr>
      <w:r>
        <w:rPr>
          <w:rFonts w:ascii="Palatino Linotype" w:hAnsi="Palatino Linotype" w:eastAsia="Palatino Linotype"/>
          <w:b/>
          <w:i w:val="0"/>
          <w:color w:val="2F3277"/>
          <w:sz w:val="24"/>
        </w:rPr>
        <w:t>Perfil agroecológico</w:t>
      </w:r>
    </w:p>
    <w:p>
      <w:pPr>
        <w:spacing w:before="0" w:after="80"/>
      </w:pPr>
      <w:r>
        <w:rPr>
          <w:rFonts w:ascii="Palatino Linotype" w:hAnsi="Palatino Linotype" w:eastAsia="Palatino Linotype"/>
          <w:b/>
          <w:i w:val="0"/>
          <w:color w:val="1B2333"/>
          <w:sz w:val="21"/>
        </w:rPr>
        <w:t>Kiwi (Actinidia chinensis var. deliciosa) en espaldera o pérgola: una enredadera leñosa de origen chino que aquí se cultiva en la zona alta tropical, donde el frío invernal es escaso.</w:t>
      </w:r>
    </w:p>
    <w:p>
      <w:pPr>
        <w:pStyle w:val="ListBullet"/>
      </w:pPr>
      <w:r>
        <w:rPr>
          <w:rFonts w:ascii="Palatino Linotype" w:hAnsi="Palatino Linotype" w:eastAsia="Palatino Linotype"/>
        </w:rPr>
        <w:t>El kiwi es dioico: hay plantas macho, que dan polen, y plantas hembra, que dan fruto. La polinización (abejas o a mano) decide el tamaño y el número de semillas del fruto.</w:t>
      </w:r>
    </w:p>
    <w:p>
      <w:pPr>
        <w:pStyle w:val="ListBullet"/>
      </w:pPr>
      <w:r>
        <w:rPr>
          <w:rFonts w:ascii="Palatino Linotype" w:hAnsi="Palatino Linotype" w:eastAsia="Palatino Linotype"/>
        </w:rPr>
        <w:t>En Veracruz se ha estudiado una población seleccionada, «Tropical Highland», con bajo requerimiento de frío invernal, producida en la zona alta tropical. Comparada con Hayward tiene frutos más chicos pero más dulces (°Brix) y ácidos, y más flavonoides.</w:t>
      </w:r>
    </w:p>
    <w:p>
      <w:pPr>
        <w:pStyle w:val="ListBullet"/>
      </w:pPr>
      <w:r>
        <w:rPr>
          <w:rFonts w:ascii="Palatino Linotype" w:hAnsi="Palatino Linotype" w:eastAsia="Palatino Linotype"/>
        </w:rPr>
        <w:t>Un estudio de zonificación ubicó a Huatusco y Chumatlán como los municipios de Veracruz con mayor similitud de suelo y clima para el kiwi; cerca de 29 % del estado tendría condiciones para introducirlo.</w:t>
      </w:r>
    </w:p>
    <w:p>
      <w:pPr>
        <w:spacing w:before="0" w:after="80"/>
      </w:pPr>
      <w:r>
        <w:rPr>
          <w:rFonts w:ascii="Palatino Linotype" w:hAnsi="Palatino Linotype" w:eastAsia="Palatino Linotype"/>
          <w:b w:val="0"/>
          <w:i w:val="0"/>
          <w:color w:val="1B2333"/>
          <w:sz w:val="20"/>
        </w:rPr>
        <w:t>Elementos de la agroecología: Diversidad, Creación conjunta de conocimientos, Resiliencia, Economía circular y solidaria.</w:t>
      </w:r>
    </w:p>
    <w:p>
      <w:pPr>
        <w:spacing w:before="0" w:after="80"/>
      </w:pPr>
      <w:r>
        <w:rPr>
          <w:rFonts w:ascii="Palatino Linotype" w:hAnsi="Palatino Linotype" w:eastAsia="Palatino Linotype"/>
          <w:b w:val="0"/>
          <w:i/>
          <w:color w:val="2F3277"/>
          <w:sz w:val="21"/>
        </w:rPr>
        <w:t>Punto de análisis: ¿Puede un frutal nuevo como el kiwi diversificar la economía de las familias de la montaña sin desplazar al maíz, al café y al bosque?</w:t>
      </w:r>
    </w:p>
    <w:p>
      <w:pPr>
        <w:keepNext/>
        <w:spacing w:before="160" w:after="100"/>
      </w:pPr>
      <w:r>
        <w:rPr>
          <w:rFonts w:ascii="Palatino Linotype" w:hAnsi="Palatino Linotype" w:eastAsia="Palatino Linotype"/>
          <w:b/>
          <w:i w:val="0"/>
          <w:color w:val="2F3277"/>
          <w:sz w:val="24"/>
        </w:rPr>
        <w:t>Qué observar</w:t>
      </w:r>
    </w:p>
    <w:p>
      <w:r>
        <w:rPr>
          <w:rFonts w:ascii="Palatino Linotype" w:hAnsi="Palatino Linotype" w:eastAsia="Palatino Linotype"/>
        </w:rPr>
        <w:t>☐ Proporción de plantas macho y hembra y cómo se reparten en el huerto.</w:t>
      </w:r>
    </w:p>
    <w:p>
      <w:r>
        <w:rPr>
          <w:rFonts w:ascii="Palatino Linotype" w:hAnsi="Palatino Linotype" w:eastAsia="Palatino Linotype"/>
        </w:rPr>
        <w:t>☐ Tipo de soporte (espaldera, pérgola) y poda de formación y de fructificación.</w:t>
      </w:r>
    </w:p>
    <w:p>
      <w:r>
        <w:rPr>
          <w:rFonts w:ascii="Palatino Linotype" w:hAnsi="Palatino Linotype" w:eastAsia="Palatino Linotype"/>
        </w:rPr>
        <w:t>☐ Cómo se logra la brotación con poco frío invernal.</w:t>
      </w:r>
    </w:p>
    <w:p>
      <w:r>
        <w:rPr>
          <w:rFonts w:ascii="Palatino Linotype" w:hAnsi="Palatino Linotype" w:eastAsia="Palatino Linotype"/>
        </w:rPr>
        <w:t>☐ Polinizadores que visitan las flores y si se poliniza a mano.</w:t>
      </w:r>
    </w:p>
    <w:p>
      <w:r>
        <w:rPr>
          <w:rFonts w:ascii="Palatino Linotype" w:hAnsi="Palatino Linotype" w:eastAsia="Palatino Linotype"/>
        </w:rPr>
        <w:t>☐ Manejo del suelo: coberturas, abonos orgánicos y drenaje en ladera.</w:t>
      </w:r>
    </w:p>
    <w:p>
      <w:r>
        <w:rPr>
          <w:rFonts w:ascii="Palatino Linotype" w:hAnsi="Palatino Linotype" w:eastAsia="Palatino Linotype"/>
        </w:rPr>
        <w:t>☐ Plagas, enfermedades y daños por viento, granizo o helada.</w:t>
      </w:r>
    </w:p>
    <w:p>
      <w:r>
        <w:rPr>
          <w:rFonts w:ascii="Palatino Linotype" w:hAnsi="Palatino Linotype" w:eastAsia="Palatino Linotype"/>
        </w:rPr>
        <w:t>☐ Cosecha, maduración, precio y a quién se vende el kiwi.</w:t>
      </w:r>
    </w:p>
    <w:p>
      <w:pPr>
        <w:keepNext/>
        <w:spacing w:before="160" w:after="100"/>
      </w:pPr>
      <w:r>
        <w:rPr>
          <w:rFonts w:ascii="Palatino Linotype" w:hAnsi="Palatino Linotype" w:eastAsia="Palatino Linotype"/>
          <w:b/>
          <w:i w:val="0"/>
          <w:color w:val="2F3277"/>
          <w:sz w:val="24"/>
        </w:rPr>
        <w:t>Alternativas desde la sostenibilidad</w:t>
      </w:r>
    </w:p>
    <w:p>
      <w:pPr>
        <w:pStyle w:val="ListBullet"/>
      </w:pPr>
      <w:r>
        <w:rPr>
          <w:rFonts w:ascii="Palatino Linotype" w:hAnsi="Palatino Linotype" w:eastAsia="Palatino Linotype"/>
        </w:rPr>
        <w:t>Cortinas rompeviento con especies nativas (aile, liquidámbar) que además dan refugio a la fauna.</w:t>
      </w:r>
    </w:p>
    <w:p>
      <w:pPr>
        <w:pStyle w:val="ListBullet"/>
      </w:pPr>
      <w:r>
        <w:rPr>
          <w:rFonts w:ascii="Palatino Linotype" w:hAnsi="Palatino Linotype" w:eastAsia="Palatino Linotype"/>
        </w:rPr>
        <w:t>Coberturas vivas y abonos verdes entre hileras para proteger el suelo de ladera.</w:t>
      </w:r>
    </w:p>
    <w:p>
      <w:pPr>
        <w:pStyle w:val="ListBullet"/>
      </w:pPr>
      <w:r>
        <w:rPr>
          <w:rFonts w:ascii="Palatino Linotype" w:hAnsi="Palatino Linotype" w:eastAsia="Palatino Linotype"/>
        </w:rPr>
        <w:t>Conservación de abejas nativas y flores en los bordes para asegurar la polinización.</w:t>
      </w:r>
    </w:p>
    <w:p>
      <w:pPr>
        <w:pStyle w:val="ListBullet"/>
      </w:pPr>
      <w:r>
        <w:rPr>
          <w:rFonts w:ascii="Palatino Linotype" w:hAnsi="Palatino Linotype" w:eastAsia="Palatino Linotype"/>
        </w:rPr>
        <w:t>Viveros locales con la selección adaptada y capacitación de campesino a campesino.</w:t>
      </w:r>
    </w:p>
    <w:p>
      <w:pPr>
        <w:pStyle w:val="ListBullet"/>
      </w:pPr>
      <w:r>
        <w:rPr>
          <w:rFonts w:ascii="Palatino Linotype" w:hAnsi="Palatino Linotype" w:eastAsia="Palatino Linotype"/>
        </w:rPr>
        <w:t>Transformación: mermeladas, deshidratados, vinagre de fruta.</w:t>
      </w:r>
    </w:p>
    <w:p>
      <w:pPr>
        <w:spacing w:before="80" w:after="80"/>
      </w:pPr>
      <w:r>
        <w:rPr>
          <w:rFonts w:ascii="Palatino Linotype" w:hAnsi="Palatino Linotype" w:eastAsia="Palatino Linotype"/>
          <w:b w:val="0"/>
          <w:i w:val="0"/>
          <w:color w:val="1B2333"/>
          <w:sz w:val="19"/>
        </w:rPr>
        <w:t>Cultivos: Kiwi, Maíz criollo, Frijol, Café en las partes bajas, Chayote, Aguacate criollo.</w:t>
      </w:r>
    </w:p>
    <w:p>
      <w:pPr>
        <w:spacing w:before="0" w:after="80"/>
      </w:pPr>
      <w:r>
        <w:rPr>
          <w:rFonts w:ascii="Palatino Linotype" w:hAnsi="Palatino Linotype" w:eastAsia="Palatino Linotype"/>
          <w:b w:val="0"/>
          <w:i w:val="0"/>
          <w:color w:val="1B2333"/>
          <w:sz w:val="19"/>
        </w:rPr>
        <w:t>Fauna: Tucaneta verde (Aulacorhynchus prasinus), Chachalaca (Ortalis vetula), Colibríes, Ardilla gris (Sciurus aureogaster), Tlacuache (Didelphis sp.), Abejas nativas sin aguijón.</w:t>
      </w:r>
    </w:p>
    <w:p>
      <w:pPr>
        <w:spacing w:before="0" w:after="80"/>
      </w:pPr>
      <w:r>
        <w:rPr>
          <w:rFonts w:ascii="Palatino Linotype" w:hAnsi="Palatino Linotype" w:eastAsia="Palatino Linotype"/>
          <w:b w:val="0"/>
          <w:i w:val="0"/>
          <w:color w:val="1B2333"/>
          <w:sz w:val="19"/>
        </w:rPr>
        <w:t>Vegetación: Aile (Alnus acuminata), Liquidámbar (Liquidambar styraciflua), Encinos (Quercus spp.), Helechos arborescentes, Jinicuil y chalahuite (Inga spp.).</w:t>
      </w:r>
    </w:p>
    <w:p>
      <w:pPr>
        <w:spacing w:before="160" w:after="80"/>
      </w:pPr>
      <w:r>
        <w:rPr>
          <w:rFonts w:ascii="Palatino Linotype" w:hAnsi="Palatino Linotype" w:eastAsia="Palatino Linotype"/>
          <w:b/>
          <w:i w:val="0"/>
          <w:color w:val="1B2333"/>
          <w:sz w:val="20"/>
        </w:rPr>
        <w:t>Notas de campo:</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r>
        <w:rPr>
          <w:rFonts w:ascii="Palatino Linotype" w:hAnsi="Palatino Linotype" w:eastAsia="Palatino Linotype"/>
        </w:rPr>
        <w:br w:type="page"/>
      </w:r>
    </w:p>
    <w:p>
      <w:pPr>
        <w:spacing w:before="0" w:after="0"/>
      </w:pPr>
      <w:r>
        <w:rPr>
          <w:rFonts w:ascii="Palatino Linotype" w:hAnsi="Palatino Linotype" w:eastAsia="Palatino Linotype"/>
          <w:b/>
          <w:i w:val="0"/>
          <w:color w:val="A8741A"/>
          <w:sz w:val="20"/>
        </w:rPr>
        <w:t>Sitio 2 · 10:00 a 10:50</w:t>
      </w:r>
    </w:p>
    <w:p>
      <w:pPr>
        <w:keepNext/>
        <w:spacing w:before="0" w:after="100"/>
      </w:pPr>
      <w:r>
        <w:rPr>
          <w:rFonts w:ascii="Palatino Linotype" w:hAnsi="Palatino Linotype" w:eastAsia="Palatino Linotype"/>
          <w:b/>
          <w:i w:val="0"/>
          <w:color w:val="2F3277"/>
          <w:sz w:val="34"/>
        </w:rPr>
        <w:t>Cascada de Chilchotla: desayuno</w:t>
      </w:r>
    </w:p>
    <w:p>
      <w:pPr>
        <w:spacing w:before="0" w:after="80"/>
      </w:pPr>
      <w:r>
        <w:rPr>
          <w:rFonts w:ascii="Palatino Linotype" w:hAnsi="Palatino Linotype" w:eastAsia="Palatino Linotype"/>
          <w:b w:val="0"/>
          <w:i w:val="0"/>
          <w:color w:val="586274"/>
          <w:sz w:val="19"/>
        </w:rPr>
        <w:t>La Cascada, Teteltitla, Chilchotla, Puebla · 2,117 msnm · 19.25230, -97.17390</w:t>
      </w:r>
    </w:p>
    <w:p>
      <w:pPr>
        <w:spacing w:before="0" w:after="80"/>
      </w:pPr>
      <w:r>
        <w:rPr>
          <w:rFonts w:ascii="Palatino Linotype" w:hAnsi="Palatino Linotype" w:eastAsia="Palatino Linotype"/>
          <w:b w:val="0"/>
          <w:i w:val="0"/>
          <w:color w:val="1B2333"/>
          <w:sz w:val="21"/>
        </w:rPr>
        <w:t>Desayuno junto a la cascada, entre bosque de pino y encino; hay un puente colgante y una poza.</w:t>
      </w:r>
    </w:p>
    <w:p>
      <w:pPr>
        <w:keepNext/>
        <w:spacing w:before="160" w:after="100"/>
      </w:pPr>
      <w:r>
        <w:rPr>
          <w:rFonts w:ascii="Palatino Linotype" w:hAnsi="Palatino Linotype" w:eastAsia="Palatino Linotype"/>
          <w:b/>
          <w:i w:val="0"/>
          <w:color w:val="A8741A"/>
          <w:sz w:val="24"/>
        </w:rPr>
        <w:t>Identidad del lugar</w:t>
      </w:r>
    </w:p>
    <w:p>
      <w:pPr>
        <w:pStyle w:val="ListBullet"/>
      </w:pPr>
      <w:r>
        <w:rPr>
          <w:rFonts w:ascii="Palatino Linotype" w:hAnsi="Palatino Linotype" w:eastAsia="Palatino Linotype"/>
        </w:rPr>
        <w:t>Chilchotla se interpreta como «donde abunda el jilote» (mazorca tierna) o como «lugar de chiles»; antiguamente se llamó Chilchihualpancingo. Su parroquia está dedicada a San Pedro.</w:t>
      </w:r>
    </w:p>
    <w:p>
      <w:pPr>
        <w:pStyle w:val="ListBullet"/>
      </w:pPr>
      <w:r>
        <w:rPr>
          <w:rFonts w:ascii="Palatino Linotype" w:hAnsi="Palatino Linotype" w:eastAsia="Palatino Linotype"/>
        </w:rPr>
        <w:t>En el municipio nacen o corren el Huitzilapan, afluente principal del río La Antigua, y los arroyos Nexhuacán, Colotlanago, Acocomotla y Paredones.</w:t>
      </w:r>
    </w:p>
    <w:p>
      <w:pPr>
        <w:pStyle w:val="ListBullet"/>
      </w:pPr>
      <w:r>
        <w:rPr>
          <w:rFonts w:ascii="Palatino Linotype" w:hAnsi="Palatino Linotype" w:eastAsia="Palatino Linotype"/>
        </w:rPr>
        <w:t>Entre la comida del lugar destacan la trucha y el mole; se elabora un licor de fruta llamado «guinda».</w:t>
      </w:r>
    </w:p>
    <w:p>
      <w:pPr>
        <w:keepNext/>
        <w:spacing w:before="160" w:after="100"/>
      </w:pPr>
      <w:r>
        <w:rPr>
          <w:rFonts w:ascii="Palatino Linotype" w:hAnsi="Palatino Linotype" w:eastAsia="Palatino Linotype"/>
          <w:b/>
          <w:i w:val="0"/>
          <w:color w:val="2F3277"/>
          <w:sz w:val="24"/>
        </w:rPr>
        <w:t>Clima local</w:t>
      </w:r>
    </w:p>
    <w:p>
      <w:pPr>
        <w:spacing w:before="0" w:after="80"/>
      </w:pPr>
      <w:r>
        <w:rPr>
          <w:rFonts w:ascii="Palatino Linotype" w:hAnsi="Palatino Linotype" w:eastAsia="Palatino Linotype"/>
          <w:b/>
          <w:color w:val="2F3277"/>
        </w:rPr>
        <w:t xml:space="preserve">Fórmula climática: C(w2)b(i')g. </w:t>
      </w:r>
      <w:r>
        <w:rPr>
          <w:rFonts w:ascii="Palatino Linotype" w:hAnsi="Palatino Linotype" w:eastAsia="Palatino Linotype"/>
        </w:rPr>
        <w:t>Templado subhúmedo, el más húmedo de los subhúmedos, con lluvias en verano. La temperatura media anual es de 13.4 °C: el mes más fresco es enero (10.5 °C) y el más cálido mayo (15.6 °C). Llueven 1,459 mm al año, 82 % de ellos entre mayo y octubre; ningún mes es seco: la neblina y las lloviznas de invierno mantienen la humedad. Las madrugadas de invierno son frías (mínima media de 4.9 °C) y puede helar algunos días.</w:t>
      </w:r>
    </w:p>
    <w:p>
      <w:pPr>
        <w:spacing w:before="0" w:after="80"/>
      </w:pPr>
      <w:r>
        <w:rPr>
          <w:rFonts w:ascii="Palatino Linotype" w:hAnsi="Palatino Linotype" w:eastAsia="Palatino Linotype"/>
          <w:b w:val="0"/>
          <w:i/>
          <w:color w:val="586274"/>
          <w:sz w:val="17"/>
        </w:rPr>
        <w:t>Lluvia: SMN, estación Chilchotla (CFE), clave 21025, Chilchotla (1971-2000). Temperatura estimada para 2,117 m con el gradiente altitudinal entre Centro Regional Huatusco (1,186 m) y Tembladeras (3,102 m), SMN 1991-2020.</w:t>
      </w:r>
    </w:p>
    <w:p>
      <w:pPr>
        <w:keepNext/>
        <w:spacing w:before="160" w:after="100"/>
      </w:pPr>
      <w:r>
        <w:rPr>
          <w:rFonts w:ascii="Palatino Linotype" w:hAnsi="Palatino Linotype" w:eastAsia="Palatino Linotype"/>
          <w:b/>
          <w:i w:val="0"/>
          <w:color w:val="2F3277"/>
          <w:sz w:val="24"/>
        </w:rPr>
        <w:t>Perfil agroecológico</w:t>
      </w:r>
    </w:p>
    <w:p>
      <w:pPr>
        <w:spacing w:before="0" w:after="80"/>
      </w:pPr>
      <w:r>
        <w:rPr>
          <w:rFonts w:ascii="Palatino Linotype" w:hAnsi="Palatino Linotype" w:eastAsia="Palatino Linotype"/>
          <w:b/>
          <w:i w:val="0"/>
          <w:color w:val="1B2333"/>
          <w:sz w:val="21"/>
        </w:rPr>
        <w:t>Bosque de pino y encino con aprovechamiento turístico comunitario y criaderos de trucha y mojarra.</w:t>
      </w:r>
    </w:p>
    <w:p>
      <w:pPr>
        <w:spacing w:before="0" w:after="80"/>
      </w:pPr>
      <w:r>
        <w:rPr>
          <w:rFonts w:ascii="Palatino Linotype" w:hAnsi="Palatino Linotype" w:eastAsia="Palatino Linotype"/>
          <w:b w:val="0"/>
          <w:i w:val="0"/>
          <w:color w:val="1B2333"/>
          <w:sz w:val="20"/>
        </w:rPr>
        <w:t>Elementos de la agroecología: Resiliencia, Gobernanza responsable, Valores humanos y sociales.</w:t>
      </w:r>
    </w:p>
    <w:p>
      <w:pPr>
        <w:spacing w:before="0" w:after="80"/>
      </w:pPr>
      <w:r>
        <w:rPr>
          <w:rFonts w:ascii="Palatino Linotype" w:hAnsi="Palatino Linotype" w:eastAsia="Palatino Linotype"/>
          <w:b w:val="0"/>
          <w:i/>
          <w:color w:val="2F3277"/>
          <w:sz w:val="21"/>
        </w:rPr>
        <w:t>Punto de análisis: El agua que cae aquí baja hasta Huatusco y Puente Nacional: ¿quién cuida la parte alta de la cuenca y quién se beneficia río abajo?</w:t>
      </w:r>
    </w:p>
    <w:p>
      <w:pPr>
        <w:keepNext/>
        <w:spacing w:before="160" w:after="100"/>
      </w:pPr>
      <w:r>
        <w:rPr>
          <w:rFonts w:ascii="Palatino Linotype" w:hAnsi="Palatino Linotype" w:eastAsia="Palatino Linotype"/>
          <w:b/>
          <w:i w:val="0"/>
          <w:color w:val="2F3277"/>
          <w:sz w:val="24"/>
        </w:rPr>
        <w:t>Qué observar</w:t>
      </w:r>
    </w:p>
    <w:p>
      <w:r>
        <w:rPr>
          <w:rFonts w:ascii="Palatino Linotype" w:hAnsi="Palatino Linotype" w:eastAsia="Palatino Linotype"/>
        </w:rPr>
        <w:t>☐ Estado del bosque alrededor de la cascada: tala, regeneración, incendios.</w:t>
      </w:r>
    </w:p>
    <w:p>
      <w:r>
        <w:rPr>
          <w:rFonts w:ascii="Palatino Linotype" w:hAnsi="Palatino Linotype" w:eastAsia="Palatino Linotype"/>
        </w:rPr>
        <w:t>☐ Origen del agua de los criaderos de trucha y a dónde va el agua que sale de ellos.</w:t>
      </w:r>
    </w:p>
    <w:p>
      <w:r>
        <w:rPr>
          <w:rFonts w:ascii="Palatino Linotype" w:hAnsi="Palatino Linotype" w:eastAsia="Palatino Linotype"/>
        </w:rPr>
        <w:t>☐ Manejo de la basura y de los visitantes.</w:t>
      </w:r>
    </w:p>
    <w:p>
      <w:r>
        <w:rPr>
          <w:rFonts w:ascii="Palatino Linotype" w:hAnsi="Palatino Linotype" w:eastAsia="Palatino Linotype"/>
        </w:rPr>
        <w:t>☐ Quién organiza el lugar: ejido, cooperativa, familia o municipio.</w:t>
      </w:r>
    </w:p>
    <w:p>
      <w:pPr>
        <w:keepNext/>
        <w:spacing w:before="160" w:after="100"/>
      </w:pPr>
      <w:r>
        <w:rPr>
          <w:rFonts w:ascii="Palatino Linotype" w:hAnsi="Palatino Linotype" w:eastAsia="Palatino Linotype"/>
          <w:b/>
          <w:i w:val="0"/>
          <w:color w:val="2F3277"/>
          <w:sz w:val="24"/>
        </w:rPr>
        <w:t>Alternativas desde la sostenibilidad</w:t>
      </w:r>
    </w:p>
    <w:p>
      <w:pPr>
        <w:pStyle w:val="ListBullet"/>
      </w:pPr>
      <w:r>
        <w:rPr>
          <w:rFonts w:ascii="Palatino Linotype" w:hAnsi="Palatino Linotype" w:eastAsia="Palatino Linotype"/>
        </w:rPr>
        <w:t>Pago por servicios ambientales y acuerdos río arriba–río abajo.</w:t>
      </w:r>
    </w:p>
    <w:p>
      <w:pPr>
        <w:pStyle w:val="ListBullet"/>
      </w:pPr>
      <w:r>
        <w:rPr>
          <w:rFonts w:ascii="Palatino Linotype" w:hAnsi="Palatino Linotype" w:eastAsia="Palatino Linotype"/>
        </w:rPr>
        <w:t>Humedales artificiales para limpiar el agua que sale de los estanques de trucha.</w:t>
      </w:r>
    </w:p>
    <w:p>
      <w:pPr>
        <w:pStyle w:val="ListBullet"/>
      </w:pPr>
      <w:r>
        <w:rPr>
          <w:rFonts w:ascii="Palatino Linotype" w:hAnsi="Palatino Linotype" w:eastAsia="Palatino Linotype"/>
        </w:rPr>
        <w:t>Senderos interpretativos con guías jóvenes de la comunidad.</w:t>
      </w:r>
    </w:p>
    <w:p>
      <w:pPr>
        <w:spacing w:before="80" w:after="80"/>
      </w:pPr>
      <w:r>
        <w:rPr>
          <w:rFonts w:ascii="Palatino Linotype" w:hAnsi="Palatino Linotype" w:eastAsia="Palatino Linotype"/>
          <w:b w:val="0"/>
          <w:i w:val="0"/>
          <w:color w:val="1B2333"/>
          <w:sz w:val="19"/>
        </w:rPr>
        <w:t>Cultivos: Trucha arcoíris (acuacultura), Mojarra.</w:t>
      </w:r>
    </w:p>
    <w:p>
      <w:pPr>
        <w:spacing w:before="0" w:after="80"/>
      </w:pPr>
      <w:r>
        <w:rPr>
          <w:rFonts w:ascii="Palatino Linotype" w:hAnsi="Palatino Linotype" w:eastAsia="Palatino Linotype"/>
          <w:b w:val="0"/>
          <w:i w:val="0"/>
          <w:color w:val="1B2333"/>
          <w:sz w:val="19"/>
        </w:rPr>
        <w:t>Fauna: Trucha arcoíris (Oncorhynchus mykiss), introducida, Mirlo y zorzales, Pájaros carpinteros, Ardilla, Mapache (Procyon lotor), Coyote (Canis latrans).</w:t>
      </w:r>
    </w:p>
    <w:p>
      <w:pPr>
        <w:spacing w:before="0" w:after="80"/>
      </w:pPr>
      <w:r>
        <w:rPr>
          <w:rFonts w:ascii="Palatino Linotype" w:hAnsi="Palatino Linotype" w:eastAsia="Palatino Linotype"/>
          <w:b w:val="0"/>
          <w:i w:val="0"/>
          <w:color w:val="1B2333"/>
          <w:sz w:val="19"/>
        </w:rPr>
        <w:t>Vegetación: Pinos (Pinus spp.), Encinos (Quercus spp.), Oyamel (Abies religiosa), Madroño (Arbutus xalapensis), Musgos y bromelias.</w:t>
      </w:r>
    </w:p>
    <w:p>
      <w:pPr>
        <w:spacing w:before="160" w:after="80"/>
      </w:pPr>
      <w:r>
        <w:rPr>
          <w:rFonts w:ascii="Palatino Linotype" w:hAnsi="Palatino Linotype" w:eastAsia="Palatino Linotype"/>
          <w:b/>
          <w:i w:val="0"/>
          <w:color w:val="1B2333"/>
          <w:sz w:val="20"/>
        </w:rPr>
        <w:t>Notas de campo:</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r>
        <w:rPr>
          <w:rFonts w:ascii="Palatino Linotype" w:hAnsi="Palatino Linotype" w:eastAsia="Palatino Linotype"/>
        </w:rPr>
        <w:br w:type="page"/>
      </w:r>
    </w:p>
    <w:p>
      <w:pPr>
        <w:spacing w:before="0" w:after="0"/>
      </w:pPr>
      <w:r>
        <w:rPr>
          <w:rFonts w:ascii="Palatino Linotype" w:hAnsi="Palatino Linotype" w:eastAsia="Palatino Linotype"/>
          <w:b/>
          <w:i w:val="0"/>
          <w:color w:val="A8741A"/>
          <w:sz w:val="20"/>
        </w:rPr>
        <w:t>Sitio 3 · 11:00 a 11:50</w:t>
      </w:r>
    </w:p>
    <w:p>
      <w:pPr>
        <w:keepNext/>
        <w:spacing w:before="0" w:after="100"/>
      </w:pPr>
      <w:r>
        <w:rPr>
          <w:rFonts w:ascii="Palatino Linotype" w:hAnsi="Palatino Linotype" w:eastAsia="Palatino Linotype"/>
          <w:b/>
          <w:i w:val="0"/>
          <w:color w:val="2F3277"/>
          <w:sz w:val="34"/>
        </w:rPr>
        <w:t>Universidad Interserrana del Estado de Puebla</w:t>
      </w:r>
    </w:p>
    <w:p>
      <w:pPr>
        <w:spacing w:before="0" w:after="80"/>
      </w:pPr>
      <w:r>
        <w:rPr>
          <w:rFonts w:ascii="Palatino Linotype" w:hAnsi="Palatino Linotype" w:eastAsia="Palatino Linotype"/>
          <w:b w:val="0"/>
          <w:i w:val="0"/>
          <w:color w:val="586274"/>
          <w:sz w:val="19"/>
        </w:rPr>
        <w:t>Chilchotla, Puebla (punto de El Carmen) · 2,354 msnm · 19.24250, -97.20083</w:t>
      </w:r>
    </w:p>
    <w:p>
      <w:pPr>
        <w:spacing w:before="0" w:after="80"/>
      </w:pPr>
      <w:r>
        <w:rPr>
          <w:rFonts w:ascii="Palatino Linotype" w:hAnsi="Palatino Linotype" w:eastAsia="Palatino Linotype"/>
          <w:b w:val="0"/>
          <w:i w:val="0"/>
          <w:color w:val="1B2333"/>
          <w:sz w:val="21"/>
        </w:rPr>
        <w:t>Visita a la universidad pública de la sierra: formación de jóvenes de la región y su vínculo con las comunidades.</w:t>
      </w:r>
    </w:p>
    <w:p>
      <w:pPr>
        <w:keepNext/>
        <w:spacing w:before="160" w:after="100"/>
      </w:pPr>
      <w:r>
        <w:rPr>
          <w:rFonts w:ascii="Palatino Linotype" w:hAnsi="Palatino Linotype" w:eastAsia="Palatino Linotype"/>
          <w:b/>
          <w:i w:val="0"/>
          <w:color w:val="A8741A"/>
          <w:sz w:val="24"/>
        </w:rPr>
        <w:t>Identidad del lugar</w:t>
      </w:r>
    </w:p>
    <w:p>
      <w:pPr>
        <w:pStyle w:val="ListBullet"/>
      </w:pPr>
      <w:r>
        <w:rPr>
          <w:rFonts w:ascii="Palatino Linotype" w:hAnsi="Palatino Linotype" w:eastAsia="Palatino Linotype"/>
        </w:rPr>
        <w:t>En Chilchotla, un estudio del Colegio de Postgraduados encontró que el aguacate criollo es parte importante del traspatio: los productores reconocen seis tipos locales, además del Hass introducido. Pregunta por sus nombres y usos (fruto, hoja para tamales y mole, sombra, leña).</w:t>
      </w:r>
    </w:p>
    <w:p>
      <w:pPr>
        <w:pStyle w:val="ListBullet"/>
      </w:pPr>
      <w:r>
        <w:rPr>
          <w:rFonts w:ascii="Palatino Linotype" w:hAnsi="Palatino Linotype" w:eastAsia="Palatino Linotype"/>
        </w:rPr>
        <w:t>Las fiestas de Todos Santos (1 y 2 de noviembre) acaban de pasar: es buen momento para preguntar qué se pone en la ofrenda y qué se cosecha para ella.</w:t>
      </w:r>
    </w:p>
    <w:p>
      <w:pPr>
        <w:pStyle w:val="ListBullet"/>
      </w:pPr>
      <w:r>
        <w:rPr>
          <w:rFonts w:ascii="Palatino Linotype" w:hAnsi="Palatino Linotype" w:eastAsia="Palatino Linotype"/>
        </w:rPr>
        <w:t>Chilchotla tiene 31 localidades y unos 21,000 habitantes; su cabecera es Rafael J. García.</w:t>
      </w:r>
    </w:p>
    <w:p>
      <w:pPr>
        <w:keepNext/>
        <w:spacing w:before="160" w:after="100"/>
      </w:pPr>
      <w:r>
        <w:rPr>
          <w:rFonts w:ascii="Palatino Linotype" w:hAnsi="Palatino Linotype" w:eastAsia="Palatino Linotype"/>
          <w:b/>
          <w:i w:val="0"/>
          <w:color w:val="2F3277"/>
          <w:sz w:val="24"/>
        </w:rPr>
        <w:t>Clima local</w:t>
      </w:r>
    </w:p>
    <w:p>
      <w:pPr>
        <w:spacing w:before="0" w:after="80"/>
      </w:pPr>
      <w:r>
        <w:rPr>
          <w:rFonts w:ascii="Palatino Linotype" w:hAnsi="Palatino Linotype" w:eastAsia="Palatino Linotype"/>
          <w:b/>
          <w:color w:val="2F3277"/>
        </w:rPr>
        <w:t xml:space="preserve">Fórmula climática: C(w2)big. </w:t>
      </w:r>
      <w:r>
        <w:rPr>
          <w:rFonts w:ascii="Palatino Linotype" w:hAnsi="Palatino Linotype" w:eastAsia="Palatino Linotype"/>
        </w:rPr>
        <w:t>Templado subhúmedo, el más húmedo de los subhúmedos, con lluvias en verano. La temperatura media anual es de 12.5 °C: el mes más fresco es enero (9.7 °C) y el más cálido mayo (14.6 °C). Llueven 1,459 mm al año, 82 % de ellos entre mayo y octubre; ningún mes es seco: la neblina y las lloviznas de invierno mantienen la humedad. Las madrugadas de invierno son frías (mínima media de 4.1 °C) y puede helar algunos días.</w:t>
      </w:r>
    </w:p>
    <w:p>
      <w:pPr>
        <w:spacing w:before="0" w:after="80"/>
      </w:pPr>
      <w:r>
        <w:rPr>
          <w:rFonts w:ascii="Palatino Linotype" w:hAnsi="Palatino Linotype" w:eastAsia="Palatino Linotype"/>
          <w:b w:val="0"/>
          <w:i/>
          <w:color w:val="586274"/>
          <w:sz w:val="17"/>
        </w:rPr>
        <w:t>Lluvia: SMN, estación Chilchotla (CFE), clave 21025, Chilchotla (1971-2000). Temperatura estimada para 2,354 m con el gradiente altitudinal entre Centro Regional Huatusco (1,186 m) y Tembladeras (3,102 m), SMN 1991-2020.</w:t>
      </w:r>
    </w:p>
    <w:p>
      <w:pPr>
        <w:keepNext/>
        <w:spacing w:before="160" w:after="100"/>
      </w:pPr>
      <w:r>
        <w:rPr>
          <w:rFonts w:ascii="Palatino Linotype" w:hAnsi="Palatino Linotype" w:eastAsia="Palatino Linotype"/>
          <w:b/>
          <w:i w:val="0"/>
          <w:color w:val="2F3277"/>
          <w:sz w:val="24"/>
        </w:rPr>
        <w:t>Perfil agroecológico</w:t>
      </w:r>
    </w:p>
    <w:p>
      <w:pPr>
        <w:spacing w:before="0" w:after="80"/>
      </w:pPr>
      <w:r>
        <w:rPr>
          <w:rFonts w:ascii="Palatino Linotype" w:hAnsi="Palatino Linotype" w:eastAsia="Palatino Linotype"/>
          <w:b/>
          <w:i w:val="0"/>
          <w:color w:val="1B2333"/>
          <w:sz w:val="21"/>
        </w:rPr>
        <w:t>Agricultura campesina de montaña: milpa, frutales de traspatio, aguacate criollo y animales de corral.</w:t>
      </w:r>
    </w:p>
    <w:p>
      <w:pPr>
        <w:spacing w:before="0" w:after="80"/>
      </w:pPr>
      <w:r>
        <w:rPr>
          <w:rFonts w:ascii="Palatino Linotype" w:hAnsi="Palatino Linotype" w:eastAsia="Palatino Linotype"/>
          <w:b w:val="0"/>
          <w:i w:val="0"/>
          <w:color w:val="1B2333"/>
          <w:sz w:val="20"/>
        </w:rPr>
        <w:t>Elementos de la agroecología: Creación conjunta de conocimientos, Valores humanos y sociales, Gobernanza responsable.</w:t>
      </w:r>
    </w:p>
    <w:p>
      <w:pPr>
        <w:spacing w:before="0" w:after="80"/>
      </w:pPr>
      <w:r>
        <w:rPr>
          <w:rFonts w:ascii="Palatino Linotype" w:hAnsi="Palatino Linotype" w:eastAsia="Palatino Linotype"/>
          <w:b w:val="0"/>
          <w:i/>
          <w:color w:val="2F3277"/>
          <w:sz w:val="21"/>
        </w:rPr>
        <w:t>Punto de análisis: ¿Qué necesita una universidad de la sierra para que sus jóvenes encuentren futuro en su propio territorio?</w:t>
      </w:r>
    </w:p>
    <w:p>
      <w:pPr>
        <w:keepNext/>
        <w:spacing w:before="160" w:after="100"/>
      </w:pPr>
      <w:r>
        <w:rPr>
          <w:rFonts w:ascii="Palatino Linotype" w:hAnsi="Palatino Linotype" w:eastAsia="Palatino Linotype"/>
          <w:b/>
          <w:i w:val="0"/>
          <w:color w:val="2F3277"/>
          <w:sz w:val="24"/>
        </w:rPr>
        <w:t>Qué observar</w:t>
      </w:r>
    </w:p>
    <w:p>
      <w:r>
        <w:rPr>
          <w:rFonts w:ascii="Palatino Linotype" w:hAnsi="Palatino Linotype" w:eastAsia="Palatino Linotype"/>
        </w:rPr>
        <w:t>☐ Carreras y proyectos ligados al campo y a la comunidad.</w:t>
      </w:r>
    </w:p>
    <w:p>
      <w:r>
        <w:rPr>
          <w:rFonts w:ascii="Palatino Linotype" w:hAnsi="Palatino Linotype" w:eastAsia="Palatino Linotype"/>
        </w:rPr>
        <w:t>☐ Parcelas, huertos o módulos demostrativos.</w:t>
      </w:r>
    </w:p>
    <w:p>
      <w:r>
        <w:rPr>
          <w:rFonts w:ascii="Palatino Linotype" w:hAnsi="Palatino Linotype" w:eastAsia="Palatino Linotype"/>
        </w:rPr>
        <w:t>☐ Lenguas que se hablan entre los estudiantes.</w:t>
      </w:r>
    </w:p>
    <w:p>
      <w:r>
        <w:rPr>
          <w:rFonts w:ascii="Palatino Linotype" w:hAnsi="Palatino Linotype" w:eastAsia="Palatino Linotype"/>
        </w:rPr>
        <w:t>☐ Vínculos con productores, ejidos y municipios.</w:t>
      </w:r>
    </w:p>
    <w:p>
      <w:pPr>
        <w:keepNext/>
        <w:spacing w:before="160" w:after="100"/>
      </w:pPr>
      <w:r>
        <w:rPr>
          <w:rFonts w:ascii="Palatino Linotype" w:hAnsi="Palatino Linotype" w:eastAsia="Palatino Linotype"/>
          <w:b/>
          <w:i w:val="0"/>
          <w:color w:val="2F3277"/>
          <w:sz w:val="24"/>
        </w:rPr>
        <w:t>Alternativas desde la sostenibilidad</w:t>
      </w:r>
    </w:p>
    <w:p>
      <w:pPr>
        <w:pStyle w:val="ListBullet"/>
      </w:pPr>
      <w:r>
        <w:rPr>
          <w:rFonts w:ascii="Palatino Linotype" w:hAnsi="Palatino Linotype" w:eastAsia="Palatino Linotype"/>
        </w:rPr>
        <w:t>Escuelas de campo campesino a campesino con estudiantes como facilitadores.</w:t>
      </w:r>
    </w:p>
    <w:p>
      <w:pPr>
        <w:pStyle w:val="ListBullet"/>
      </w:pPr>
      <w:r>
        <w:rPr>
          <w:rFonts w:ascii="Palatino Linotype" w:hAnsi="Palatino Linotype" w:eastAsia="Palatino Linotype"/>
        </w:rPr>
        <w:t>Bancos de semillas y colecciones vivas de aguacate criollo y frutales locales.</w:t>
      </w:r>
    </w:p>
    <w:p>
      <w:pPr>
        <w:pStyle w:val="ListBullet"/>
      </w:pPr>
      <w:r>
        <w:rPr>
          <w:rFonts w:ascii="Palatino Linotype" w:hAnsi="Palatino Linotype" w:eastAsia="Palatino Linotype"/>
        </w:rPr>
        <w:t>Investigación participativa con las familias de la sierra.</w:t>
      </w:r>
    </w:p>
    <w:p>
      <w:pPr>
        <w:spacing w:before="80" w:after="80"/>
      </w:pPr>
      <w:r>
        <w:rPr>
          <w:rFonts w:ascii="Palatino Linotype" w:hAnsi="Palatino Linotype" w:eastAsia="Palatino Linotype"/>
          <w:b w:val="0"/>
          <w:i w:val="0"/>
          <w:color w:val="1B2333"/>
          <w:sz w:val="19"/>
        </w:rPr>
        <w:t>Cultivos: Maíz criollo, Haba, Papa, Avena forrajera, Aguacate criollo, Durazno y ciruela de traspatio.</w:t>
      </w:r>
    </w:p>
    <w:p>
      <w:pPr>
        <w:spacing w:before="0" w:after="80"/>
      </w:pPr>
      <w:r>
        <w:rPr>
          <w:rFonts w:ascii="Palatino Linotype" w:hAnsi="Palatino Linotype" w:eastAsia="Palatino Linotype"/>
          <w:b w:val="0"/>
          <w:i w:val="0"/>
          <w:color w:val="1B2333"/>
          <w:sz w:val="19"/>
        </w:rPr>
        <w:t>Fauna: Gallinas y guajolotes de traspatio, Borregos, Zopilote (Coragyps atratus), Gavilanes, Tuzas (plaga de la milpa).</w:t>
      </w:r>
    </w:p>
    <w:p>
      <w:pPr>
        <w:spacing w:before="0" w:after="80"/>
      </w:pPr>
      <w:r>
        <w:rPr>
          <w:rFonts w:ascii="Palatino Linotype" w:hAnsi="Palatino Linotype" w:eastAsia="Palatino Linotype"/>
          <w:b w:val="0"/>
          <w:i w:val="0"/>
          <w:color w:val="1B2333"/>
          <w:sz w:val="19"/>
        </w:rPr>
        <w:t>Vegetación: Pinos y encinos, Aile (Alnus acuminata), Capulín (Prunus serotina), Tejocote (Crataegus mexicana).</w:t>
      </w:r>
    </w:p>
    <w:p>
      <w:pPr>
        <w:spacing w:before="160" w:after="80"/>
      </w:pPr>
      <w:r>
        <w:rPr>
          <w:rFonts w:ascii="Palatino Linotype" w:hAnsi="Palatino Linotype" w:eastAsia="Palatino Linotype"/>
          <w:b/>
          <w:i w:val="0"/>
          <w:color w:val="1B2333"/>
          <w:sz w:val="20"/>
        </w:rPr>
        <w:t>Notas de campo:</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r>
        <w:rPr>
          <w:rFonts w:ascii="Palatino Linotype" w:hAnsi="Palatino Linotype" w:eastAsia="Palatino Linotype"/>
        </w:rPr>
        <w:br w:type="page"/>
      </w:r>
    </w:p>
    <w:p>
      <w:pPr>
        <w:spacing w:before="0" w:after="0"/>
      </w:pPr>
      <w:r>
        <w:rPr>
          <w:rFonts w:ascii="Palatino Linotype" w:hAnsi="Palatino Linotype" w:eastAsia="Palatino Linotype"/>
          <w:b/>
          <w:i w:val="0"/>
          <w:color w:val="A8741A"/>
          <w:sz w:val="20"/>
        </w:rPr>
        <w:t>Sitio 4 · 12:25 a 13:50</w:t>
      </w:r>
    </w:p>
    <w:p>
      <w:pPr>
        <w:keepNext/>
        <w:spacing w:before="0" w:after="100"/>
      </w:pPr>
      <w:r>
        <w:rPr>
          <w:rFonts w:ascii="Palatino Linotype" w:hAnsi="Palatino Linotype" w:eastAsia="Palatino Linotype"/>
          <w:b/>
          <w:i w:val="0"/>
          <w:color w:val="2F3277"/>
          <w:sz w:val="34"/>
        </w:rPr>
        <w:t>Huerto agroecológico Ranchito Azul: arándanos y frutillas</w:t>
      </w:r>
    </w:p>
    <w:p>
      <w:pPr>
        <w:spacing w:before="0" w:after="80"/>
      </w:pPr>
      <w:r>
        <w:rPr>
          <w:rFonts w:ascii="Palatino Linotype" w:hAnsi="Palatino Linotype" w:eastAsia="Palatino Linotype"/>
          <w:b w:val="0"/>
          <w:i w:val="0"/>
          <w:color w:val="586274"/>
          <w:sz w:val="19"/>
        </w:rPr>
        <w:t>Alta Luz, Quimixtlán, Puebla · 2,627 msnm · 19.21389, -97.17000</w:t>
      </w:r>
    </w:p>
    <w:p>
      <w:pPr>
        <w:spacing w:before="0" w:after="80"/>
      </w:pPr>
      <w:r>
        <w:rPr>
          <w:rFonts w:ascii="Palatino Linotype" w:hAnsi="Palatino Linotype" w:eastAsia="Palatino Linotype"/>
          <w:b w:val="0"/>
          <w:i w:val="0"/>
          <w:color w:val="1B2333"/>
          <w:sz w:val="21"/>
        </w:rPr>
        <w:t>Recorrido por el huerto agroecológico de arándanos y frutillas (zarzamora, frambuesa, fresa).</w:t>
      </w:r>
    </w:p>
    <w:p>
      <w:pPr>
        <w:keepNext/>
        <w:spacing w:before="160" w:after="100"/>
      </w:pPr>
      <w:r>
        <w:rPr>
          <w:rFonts w:ascii="Palatino Linotype" w:hAnsi="Palatino Linotype" w:eastAsia="Palatino Linotype"/>
          <w:b/>
          <w:i w:val="0"/>
          <w:color w:val="A8741A"/>
          <w:sz w:val="24"/>
        </w:rPr>
        <w:t>Identidad del lugar</w:t>
      </w:r>
    </w:p>
    <w:p>
      <w:pPr>
        <w:pStyle w:val="ListBullet"/>
      </w:pPr>
      <w:r>
        <w:rPr>
          <w:rFonts w:ascii="Palatino Linotype" w:hAnsi="Palatino Linotype" w:eastAsia="Palatino Linotype"/>
        </w:rPr>
        <w:t>Quimixtlán se interpreta, del náhuatl quimilli (envoltorio), mixtli (nube) y tlan (lugar), como «lugar envuelto en nubes»: así se ve la sierra muchas mañanas. Su parroquia es la de San Juan Bautista.</w:t>
      </w:r>
    </w:p>
    <w:p>
      <w:pPr>
        <w:pStyle w:val="ListBullet"/>
      </w:pPr>
      <w:r>
        <w:rPr>
          <w:rFonts w:ascii="Palatino Linotype" w:hAnsi="Palatino Linotype" w:eastAsia="Palatino Linotype"/>
        </w:rPr>
        <w:t>Puebla es el primer productor nacional de arándano azul orgánico; la mayor parte se cultiva en Zacatlán y en la zona del Popocatépetl, por eso un huerto en esta sierra es una experiencia poco común.</w:t>
      </w:r>
    </w:p>
    <w:p>
      <w:pPr>
        <w:pStyle w:val="ListBullet"/>
      </w:pPr>
      <w:r>
        <w:rPr>
          <w:rFonts w:ascii="Palatino Linotype" w:hAnsi="Palatino Linotype" w:eastAsia="Palatino Linotype"/>
        </w:rPr>
        <w:t>Fue un asentamiento prehispánico con influencia nahua, y es municipio libre desde 1895.</w:t>
      </w:r>
    </w:p>
    <w:p>
      <w:pPr>
        <w:keepNext/>
        <w:spacing w:before="160" w:after="100"/>
      </w:pPr>
      <w:r>
        <w:rPr>
          <w:rFonts w:ascii="Palatino Linotype" w:hAnsi="Palatino Linotype" w:eastAsia="Palatino Linotype"/>
          <w:b/>
          <w:i w:val="0"/>
          <w:color w:val="2F3277"/>
          <w:sz w:val="24"/>
        </w:rPr>
        <w:t>Clima local</w:t>
      </w:r>
    </w:p>
    <w:p>
      <w:pPr>
        <w:spacing w:before="0" w:after="80"/>
      </w:pPr>
      <w:r>
        <w:rPr>
          <w:rFonts w:ascii="Palatino Linotype" w:hAnsi="Palatino Linotype" w:eastAsia="Palatino Linotype"/>
          <w:b/>
          <w:color w:val="2F3277"/>
        </w:rPr>
        <w:t xml:space="preserve">Fórmula climática: C(E)(w2)big. </w:t>
      </w:r>
      <w:r>
        <w:rPr>
          <w:rFonts w:ascii="Palatino Linotype" w:hAnsi="Palatino Linotype" w:eastAsia="Palatino Linotype"/>
        </w:rPr>
        <w:t>Semifrío subhúmedo, el más húmedo de los subhúmedos, con lluvias en verano. La temperatura media anual es de 11.4 °C: el mes más fresco es enero (8.8 °C) y el más cálido mayo (13.4 °C). Llueven 1,624 mm al año, 85 % de ellos entre mayo y octubre; ningún mes es seco: la neblina y las lloviznas de invierno mantienen la humedad. Las madrugadas de invierno son frías (mínima media de 3.3 °C) y puede helar algunos días.</w:t>
      </w:r>
    </w:p>
    <w:p>
      <w:pPr>
        <w:spacing w:before="0" w:after="80"/>
      </w:pPr>
      <w:r>
        <w:rPr>
          <w:rFonts w:ascii="Palatino Linotype" w:hAnsi="Palatino Linotype" w:eastAsia="Palatino Linotype"/>
          <w:b w:val="0"/>
          <w:i/>
          <w:color w:val="586274"/>
          <w:sz w:val="17"/>
        </w:rPr>
        <w:t>Lluvia: SMN, estación Quimixtlán, clave 21067, Quimixtlán (1961-1990). Temperatura estimada para 2,627 m con el gradiente altitudinal entre Centro Regional Huatusco (1,186 m) y Tembladeras (3,102 m), SMN 1991-2020.</w:t>
      </w:r>
    </w:p>
    <w:p>
      <w:pPr>
        <w:keepNext/>
        <w:spacing w:before="160" w:after="100"/>
      </w:pPr>
      <w:r>
        <w:rPr>
          <w:rFonts w:ascii="Palatino Linotype" w:hAnsi="Palatino Linotype" w:eastAsia="Palatino Linotype"/>
          <w:b/>
          <w:i w:val="0"/>
          <w:color w:val="2F3277"/>
          <w:sz w:val="24"/>
        </w:rPr>
        <w:t>Perfil agroecológico</w:t>
      </w:r>
    </w:p>
    <w:p>
      <w:pPr>
        <w:spacing w:before="0" w:after="80"/>
      </w:pPr>
      <w:r>
        <w:rPr>
          <w:rFonts w:ascii="Palatino Linotype" w:hAnsi="Palatino Linotype" w:eastAsia="Palatino Linotype"/>
          <w:b/>
          <w:i w:val="0"/>
          <w:color w:val="1B2333"/>
          <w:sz w:val="21"/>
        </w:rPr>
        <w:t>Arándano azul (Vaccinium corymbosum y sus híbridos) y otras frutillas con manejo agroecológico: acolchados, abonos orgánicos y control biológico.</w:t>
      </w:r>
    </w:p>
    <w:p>
      <w:pPr>
        <w:spacing w:before="0" w:after="80"/>
      </w:pPr>
      <w:r>
        <w:rPr>
          <w:rFonts w:ascii="Palatino Linotype" w:hAnsi="Palatino Linotype" w:eastAsia="Palatino Linotype"/>
          <w:b w:val="0"/>
          <w:i w:val="0"/>
          <w:color w:val="1B2333"/>
          <w:sz w:val="20"/>
        </w:rPr>
        <w:t>Elementos de la agroecología: Diversidad, Eficiencia, Reciclaje, Economía circular y solidaria.</w:t>
      </w:r>
    </w:p>
    <w:p>
      <w:pPr>
        <w:spacing w:before="0" w:after="80"/>
      </w:pPr>
      <w:r>
        <w:rPr>
          <w:rFonts w:ascii="Palatino Linotype" w:hAnsi="Palatino Linotype" w:eastAsia="Palatino Linotype"/>
          <w:b w:val="0"/>
          <w:i/>
          <w:color w:val="2F3277"/>
          <w:sz w:val="21"/>
        </w:rPr>
        <w:t>Punto de análisis: El arándano se exporta y se paga bien: ¿cómo evitar que una fruta de exportación vuelva a la sierra un monocultivo dependiente de insumos?</w:t>
      </w:r>
    </w:p>
    <w:p>
      <w:pPr>
        <w:keepNext/>
        <w:spacing w:before="160" w:after="100"/>
      </w:pPr>
      <w:r>
        <w:rPr>
          <w:rFonts w:ascii="Palatino Linotype" w:hAnsi="Palatino Linotype" w:eastAsia="Palatino Linotype"/>
          <w:b/>
          <w:i w:val="0"/>
          <w:color w:val="2F3277"/>
          <w:sz w:val="24"/>
        </w:rPr>
        <w:t>Qué observar</w:t>
      </w:r>
    </w:p>
    <w:p>
      <w:r>
        <w:rPr>
          <w:rFonts w:ascii="Palatino Linotype" w:hAnsi="Palatino Linotype" w:eastAsia="Palatino Linotype"/>
        </w:rPr>
        <w:t>☐ Variedades de arándano y su requerimiento de frío.</w:t>
      </w:r>
    </w:p>
    <w:p>
      <w:r>
        <w:rPr>
          <w:rFonts w:ascii="Palatino Linotype" w:hAnsi="Palatino Linotype" w:eastAsia="Palatino Linotype"/>
        </w:rPr>
        <w:t>☐ Acolchado (acícula de pino, aserrín, corteza) y cómo se mantiene ácido el suelo.</w:t>
      </w:r>
    </w:p>
    <w:p>
      <w:r>
        <w:rPr>
          <w:rFonts w:ascii="Palatino Linotype" w:hAnsi="Palatino Linotype" w:eastAsia="Palatino Linotype"/>
        </w:rPr>
        <w:t>☐ Riego, fertilización orgánica y biopreparados.</w:t>
      </w:r>
    </w:p>
    <w:p>
      <w:r>
        <w:rPr>
          <w:rFonts w:ascii="Palatino Linotype" w:hAnsi="Palatino Linotype" w:eastAsia="Palatino Linotype"/>
        </w:rPr>
        <w:t>☐ Polinización: abejorros (Bombus), abejas nativas o colmenas.</w:t>
      </w:r>
    </w:p>
    <w:p>
      <w:r>
        <w:rPr>
          <w:rFonts w:ascii="Palatino Linotype" w:hAnsi="Palatino Linotype" w:eastAsia="Palatino Linotype"/>
        </w:rPr>
        <w:t>☐ Protección contra aves, granizo y helada (mallas, cubiertas).</w:t>
      </w:r>
    </w:p>
    <w:p>
      <w:r>
        <w:rPr>
          <w:rFonts w:ascii="Palatino Linotype" w:hAnsi="Palatino Linotype" w:eastAsia="Palatino Linotype"/>
        </w:rPr>
        <w:t>☐ Cosecha manual, empaque, mercado y precio.</w:t>
      </w:r>
    </w:p>
    <w:p>
      <w:pPr>
        <w:keepNext/>
        <w:spacing w:before="160" w:after="100"/>
      </w:pPr>
      <w:r>
        <w:rPr>
          <w:rFonts w:ascii="Palatino Linotype" w:hAnsi="Palatino Linotype" w:eastAsia="Palatino Linotype"/>
          <w:b/>
          <w:i w:val="0"/>
          <w:color w:val="2F3277"/>
          <w:sz w:val="24"/>
        </w:rPr>
        <w:t>Alternativas desde la sostenibilidad</w:t>
      </w:r>
    </w:p>
    <w:p>
      <w:pPr>
        <w:pStyle w:val="ListBullet"/>
      </w:pPr>
      <w:r>
        <w:rPr>
          <w:rFonts w:ascii="Palatino Linotype" w:hAnsi="Palatino Linotype" w:eastAsia="Palatino Linotype"/>
        </w:rPr>
        <w:t>Asociar frutillas con flores y plantas aromáticas que atraen polinizadores y enemigos naturales.</w:t>
      </w:r>
    </w:p>
    <w:p>
      <w:pPr>
        <w:pStyle w:val="ListBullet"/>
      </w:pPr>
      <w:r>
        <w:rPr>
          <w:rFonts w:ascii="Palatino Linotype" w:hAnsi="Palatino Linotype" w:eastAsia="Palatino Linotype"/>
        </w:rPr>
        <w:t>Compostas con residuos del bosque y del huerto en lugar de fertilizantes de síntesis.</w:t>
      </w:r>
    </w:p>
    <w:p>
      <w:pPr>
        <w:pStyle w:val="ListBullet"/>
      </w:pPr>
      <w:r>
        <w:rPr>
          <w:rFonts w:ascii="Palatino Linotype" w:hAnsi="Palatino Linotype" w:eastAsia="Palatino Linotype"/>
        </w:rPr>
        <w:t>Certificación orgánica o participativa y venta directa en mercados regionales.</w:t>
      </w:r>
    </w:p>
    <w:p>
      <w:pPr>
        <w:pStyle w:val="ListBullet"/>
      </w:pPr>
      <w:r>
        <w:rPr>
          <w:rFonts w:ascii="Palatino Linotype" w:hAnsi="Palatino Linotype" w:eastAsia="Palatino Linotype"/>
        </w:rPr>
        <w:t>Transformación local: mermeladas, licores, deshidratados.</w:t>
      </w:r>
    </w:p>
    <w:p>
      <w:pPr>
        <w:spacing w:before="80" w:after="80"/>
      </w:pPr>
      <w:r>
        <w:rPr>
          <w:rFonts w:ascii="Palatino Linotype" w:hAnsi="Palatino Linotype" w:eastAsia="Palatino Linotype"/>
          <w:b w:val="0"/>
          <w:i w:val="0"/>
          <w:color w:val="1B2333"/>
          <w:sz w:val="19"/>
        </w:rPr>
        <w:t>Cultivos: Arándano azul, Zarzamora, Frambuesa, Fresa, Maíz, Haba.</w:t>
      </w:r>
    </w:p>
    <w:p>
      <w:pPr>
        <w:spacing w:before="0" w:after="80"/>
      </w:pPr>
      <w:r>
        <w:rPr>
          <w:rFonts w:ascii="Palatino Linotype" w:hAnsi="Palatino Linotype" w:eastAsia="Palatino Linotype"/>
          <w:b w:val="0"/>
          <w:i w:val="0"/>
          <w:color w:val="1B2333"/>
          <w:sz w:val="19"/>
        </w:rPr>
        <w:t>Fauna: Abejorros (Bombus spp.), Abejas nativas, Colibríes, Mirlos y otras aves que comen fruta madura, Tlacuache (Didelphis sp.).</w:t>
      </w:r>
    </w:p>
    <w:p>
      <w:pPr>
        <w:spacing w:before="0" w:after="80"/>
      </w:pPr>
      <w:r>
        <w:rPr>
          <w:rFonts w:ascii="Palatino Linotype" w:hAnsi="Palatino Linotype" w:eastAsia="Palatino Linotype"/>
          <w:b w:val="0"/>
          <w:i w:val="0"/>
          <w:color w:val="1B2333"/>
          <w:sz w:val="19"/>
        </w:rPr>
        <w:t>Vegetación: Pinos y encinos, Aile (Alnus acuminata), Zarzamora silvestre (Rubus spp.), Madroño (Arbutus xalapensis).</w:t>
      </w:r>
    </w:p>
    <w:p>
      <w:pPr>
        <w:spacing w:before="160" w:after="80"/>
      </w:pPr>
      <w:r>
        <w:rPr>
          <w:rFonts w:ascii="Palatino Linotype" w:hAnsi="Palatino Linotype" w:eastAsia="Palatino Linotype"/>
          <w:b/>
          <w:i w:val="0"/>
          <w:color w:val="1B2333"/>
          <w:sz w:val="20"/>
        </w:rPr>
        <w:t>Notas de campo:</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r>
        <w:rPr>
          <w:rFonts w:ascii="Palatino Linotype" w:hAnsi="Palatino Linotype" w:eastAsia="Palatino Linotype"/>
        </w:rPr>
        <w:br w:type="page"/>
      </w:r>
    </w:p>
    <w:p>
      <w:pPr>
        <w:spacing w:before="0" w:after="0"/>
      </w:pPr>
      <w:r>
        <w:rPr>
          <w:rFonts w:ascii="Palatino Linotype" w:hAnsi="Palatino Linotype" w:eastAsia="Palatino Linotype"/>
          <w:b/>
          <w:i w:val="0"/>
          <w:color w:val="A8741A"/>
          <w:sz w:val="20"/>
        </w:rPr>
        <w:t>Sitio 5 · 14:35 a 16:40</w:t>
      </w:r>
    </w:p>
    <w:p>
      <w:pPr>
        <w:keepNext/>
        <w:spacing w:before="0" w:after="100"/>
      </w:pPr>
      <w:r>
        <w:rPr>
          <w:rFonts w:ascii="Palatino Linotype" w:hAnsi="Palatino Linotype" w:eastAsia="Palatino Linotype"/>
          <w:b/>
          <w:i w:val="0"/>
          <w:color w:val="2F3277"/>
          <w:sz w:val="34"/>
        </w:rPr>
        <w:t>Huerto agroecológico Un Mundo Raro y comida típica</w:t>
      </w:r>
    </w:p>
    <w:p>
      <w:pPr>
        <w:spacing w:before="0" w:after="80"/>
      </w:pPr>
      <w:r>
        <w:rPr>
          <w:rFonts w:ascii="Palatino Linotype" w:hAnsi="Palatino Linotype" w:eastAsia="Palatino Linotype"/>
          <w:b w:val="0"/>
          <w:i w:val="0"/>
          <w:color w:val="586274"/>
          <w:sz w:val="19"/>
        </w:rPr>
        <w:t>Acocomotla, Chilchotla, Puebla · 2,636 msnm · 19.27722, -97.21889</w:t>
      </w:r>
    </w:p>
    <w:p>
      <w:pPr>
        <w:spacing w:before="0" w:after="80"/>
      </w:pPr>
      <w:r>
        <w:rPr>
          <w:rFonts w:ascii="Palatino Linotype" w:hAnsi="Palatino Linotype" w:eastAsia="Palatino Linotype"/>
          <w:b w:val="0"/>
          <w:i w:val="0"/>
          <w:color w:val="1B2333"/>
          <w:sz w:val="21"/>
        </w:rPr>
        <w:t>Recorrido por el huerto agroecológico Un Mundo Raro y comida típica de la sierra.</w:t>
      </w:r>
    </w:p>
    <w:p>
      <w:pPr>
        <w:keepNext/>
        <w:spacing w:before="160" w:after="100"/>
      </w:pPr>
      <w:r>
        <w:rPr>
          <w:rFonts w:ascii="Palatino Linotype" w:hAnsi="Palatino Linotype" w:eastAsia="Palatino Linotype"/>
          <w:b/>
          <w:i w:val="0"/>
          <w:color w:val="A8741A"/>
          <w:sz w:val="24"/>
        </w:rPr>
        <w:t>Identidad del lugar</w:t>
      </w:r>
    </w:p>
    <w:p>
      <w:pPr>
        <w:pStyle w:val="ListBullet"/>
      </w:pPr>
      <w:r>
        <w:rPr>
          <w:rFonts w:ascii="Palatino Linotype" w:hAnsi="Palatino Linotype" w:eastAsia="Palatino Linotype"/>
        </w:rPr>
        <w:t>Acocomotla es una de las dos juntas auxiliares de Chilchotla; el arroyo del mismo nombre es afluente del río La Antigua.</w:t>
      </w:r>
    </w:p>
    <w:p>
      <w:pPr>
        <w:pStyle w:val="ListBullet"/>
      </w:pPr>
      <w:r>
        <w:rPr>
          <w:rFonts w:ascii="Palatino Linotype" w:hAnsi="Palatino Linotype" w:eastAsia="Palatino Linotype"/>
        </w:rPr>
        <w:t>Chilchotla está en la Sierra Madre Oriental, entre 1,780 y 3,460 m de altitud; sus bosques de pino, encino, oyamel y madroño se conservan sobre todo al noreste del municipio.</w:t>
      </w:r>
    </w:p>
    <w:p>
      <w:pPr>
        <w:pStyle w:val="ListBullet"/>
      </w:pPr>
      <w:r>
        <w:rPr>
          <w:rFonts w:ascii="Palatino Linotype" w:hAnsi="Palatino Linotype" w:eastAsia="Palatino Linotype"/>
        </w:rPr>
        <w:t>La comida típica es un buen momento para preguntar por el mole, los tamales, los quelites, la trucha y el licor de guinda, y por quién guarda esas recetas.</w:t>
      </w:r>
    </w:p>
    <w:p>
      <w:pPr>
        <w:keepNext/>
        <w:spacing w:before="160" w:after="100"/>
      </w:pPr>
      <w:r>
        <w:rPr>
          <w:rFonts w:ascii="Palatino Linotype" w:hAnsi="Palatino Linotype" w:eastAsia="Palatino Linotype"/>
          <w:b/>
          <w:i w:val="0"/>
          <w:color w:val="2F3277"/>
          <w:sz w:val="24"/>
        </w:rPr>
        <w:t>Clima local</w:t>
      </w:r>
    </w:p>
    <w:p>
      <w:pPr>
        <w:spacing w:before="0" w:after="80"/>
      </w:pPr>
      <w:r>
        <w:rPr>
          <w:rFonts w:ascii="Palatino Linotype" w:hAnsi="Palatino Linotype" w:eastAsia="Palatino Linotype"/>
          <w:b/>
          <w:color w:val="2F3277"/>
        </w:rPr>
        <w:t xml:space="preserve">Fórmula climática: C(E)(w2)big. </w:t>
      </w:r>
      <w:r>
        <w:rPr>
          <w:rFonts w:ascii="Palatino Linotype" w:hAnsi="Palatino Linotype" w:eastAsia="Palatino Linotype"/>
        </w:rPr>
        <w:t>Semifrío subhúmedo, el más húmedo de los subhúmedos, con lluvias en verano. La temperatura media anual es de 11.3 °C: el mes más fresco es enero (8.8 °C) y el más cálido mayo (13.4 °C). Llueven 942 mm al año, 83 % de ellos entre mayo y octubre; los meses secos son febrero y marzo. Las madrugadas de invierno son frías (mínima media de 3.3 °C) y puede helar algunos días.</w:t>
      </w:r>
    </w:p>
    <w:p>
      <w:pPr>
        <w:spacing w:before="0" w:after="80"/>
      </w:pPr>
      <w:r>
        <w:rPr>
          <w:rFonts w:ascii="Palatino Linotype" w:hAnsi="Palatino Linotype" w:eastAsia="Palatino Linotype"/>
          <w:b w:val="0"/>
          <w:i/>
          <w:color w:val="586274"/>
          <w:sz w:val="17"/>
        </w:rPr>
        <w:t>Lluvia: SMN, estación La Trinidad (CFE), clave 21056, Chilchotla (1971-2000). Temperatura estimada para 2,636 m con el gradiente altitudinal entre Centro Regional Huatusco (1,186 m) y Tembladeras (3,102 m), SMN 1991-2020.</w:t>
      </w:r>
    </w:p>
    <w:p>
      <w:pPr>
        <w:keepNext/>
        <w:spacing w:before="160" w:after="100"/>
      </w:pPr>
      <w:r>
        <w:rPr>
          <w:rFonts w:ascii="Palatino Linotype" w:hAnsi="Palatino Linotype" w:eastAsia="Palatino Linotype"/>
          <w:b/>
          <w:i w:val="0"/>
          <w:color w:val="2F3277"/>
          <w:sz w:val="24"/>
        </w:rPr>
        <w:t>Perfil agroecológico</w:t>
      </w:r>
    </w:p>
    <w:p>
      <w:pPr>
        <w:spacing w:before="0" w:after="80"/>
      </w:pPr>
      <w:r>
        <w:rPr>
          <w:rFonts w:ascii="Palatino Linotype" w:hAnsi="Palatino Linotype" w:eastAsia="Palatino Linotype"/>
          <w:b/>
          <w:i w:val="0"/>
          <w:color w:val="1B2333"/>
          <w:sz w:val="21"/>
        </w:rPr>
        <w:t>Huerto agroecológico diversificado de montaña: hortalizas, frutales, plantas medicinales y animales.</w:t>
      </w:r>
    </w:p>
    <w:p>
      <w:pPr>
        <w:spacing w:before="0" w:after="80"/>
      </w:pPr>
      <w:r>
        <w:rPr>
          <w:rFonts w:ascii="Palatino Linotype" w:hAnsi="Palatino Linotype" w:eastAsia="Palatino Linotype"/>
          <w:b w:val="0"/>
          <w:i w:val="0"/>
          <w:color w:val="1B2333"/>
          <w:sz w:val="20"/>
        </w:rPr>
        <w:t>Elementos de la agroecología: Diversidad, Sinergias, Reciclaje, Cultura y tradiciones alimentarias.</w:t>
      </w:r>
    </w:p>
    <w:p>
      <w:pPr>
        <w:spacing w:before="0" w:after="80"/>
      </w:pPr>
      <w:r>
        <w:rPr>
          <w:rFonts w:ascii="Palatino Linotype" w:hAnsi="Palatino Linotype" w:eastAsia="Palatino Linotype"/>
          <w:b w:val="0"/>
          <w:i/>
          <w:color w:val="2F3277"/>
          <w:sz w:val="21"/>
        </w:rPr>
        <w:t>Punto de análisis: ¿Qué hace «raro» a este mundo? Identifica qué prácticas lo distinguen de la agricultura convencional de la zona y por qué.</w:t>
      </w:r>
    </w:p>
    <w:p>
      <w:pPr>
        <w:keepNext/>
        <w:spacing w:before="160" w:after="100"/>
      </w:pPr>
      <w:r>
        <w:rPr>
          <w:rFonts w:ascii="Palatino Linotype" w:hAnsi="Palatino Linotype" w:eastAsia="Palatino Linotype"/>
          <w:b/>
          <w:i w:val="0"/>
          <w:color w:val="2F3277"/>
          <w:sz w:val="24"/>
        </w:rPr>
        <w:t>Qué observar</w:t>
      </w:r>
    </w:p>
    <w:p>
      <w:r>
        <w:rPr>
          <w:rFonts w:ascii="Palatino Linotype" w:hAnsi="Palatino Linotype" w:eastAsia="Palatino Linotype"/>
        </w:rPr>
        <w:t>☐ Número de especies y cómo se combinan en el espacio y en el tiempo.</w:t>
      </w:r>
    </w:p>
    <w:p>
      <w:r>
        <w:rPr>
          <w:rFonts w:ascii="Palatino Linotype" w:hAnsi="Palatino Linotype" w:eastAsia="Palatino Linotype"/>
        </w:rPr>
        <w:t>☐ Fuentes de abono (estiércol, composta, lombricomposta) y reciclaje de residuos.</w:t>
      </w:r>
    </w:p>
    <w:p>
      <w:r>
        <w:rPr>
          <w:rFonts w:ascii="Palatino Linotype" w:hAnsi="Palatino Linotype" w:eastAsia="Palatino Linotype"/>
        </w:rPr>
        <w:t>☐ Semillas: propias, intercambiadas o compradas.</w:t>
      </w:r>
    </w:p>
    <w:p>
      <w:r>
        <w:rPr>
          <w:rFonts w:ascii="Palatino Linotype" w:hAnsi="Palatino Linotype" w:eastAsia="Palatino Linotype"/>
        </w:rPr>
        <w:t>☐ Plantas medicinales y quelites que se conocen y usan.</w:t>
      </w:r>
    </w:p>
    <w:p>
      <w:r>
        <w:rPr>
          <w:rFonts w:ascii="Palatino Linotype" w:hAnsi="Palatino Linotype" w:eastAsia="Palatino Linotype"/>
        </w:rPr>
        <w:t>☐ Ingredientes de la comida típica: qué viene del huerto y qué se compra.</w:t>
      </w:r>
    </w:p>
    <w:p>
      <w:pPr>
        <w:keepNext/>
        <w:spacing w:before="160" w:after="100"/>
      </w:pPr>
      <w:r>
        <w:rPr>
          <w:rFonts w:ascii="Palatino Linotype" w:hAnsi="Palatino Linotype" w:eastAsia="Palatino Linotype"/>
          <w:b/>
          <w:i w:val="0"/>
          <w:color w:val="2F3277"/>
          <w:sz w:val="24"/>
        </w:rPr>
        <w:t>Alternativas desde la sostenibilidad</w:t>
      </w:r>
    </w:p>
    <w:p>
      <w:pPr>
        <w:pStyle w:val="ListBullet"/>
      </w:pPr>
      <w:r>
        <w:rPr>
          <w:rFonts w:ascii="Palatino Linotype" w:hAnsi="Palatino Linotype" w:eastAsia="Palatino Linotype"/>
        </w:rPr>
        <w:t>Bancos e intercambio de semillas locales.</w:t>
      </w:r>
    </w:p>
    <w:p>
      <w:pPr>
        <w:pStyle w:val="ListBullet"/>
      </w:pPr>
      <w:r>
        <w:rPr>
          <w:rFonts w:ascii="Palatino Linotype" w:hAnsi="Palatino Linotype" w:eastAsia="Palatino Linotype"/>
        </w:rPr>
        <w:t>Terrazas, curvas a nivel y barreras vivas para la ladera.</w:t>
      </w:r>
    </w:p>
    <w:p>
      <w:pPr>
        <w:pStyle w:val="ListBullet"/>
      </w:pPr>
      <w:r>
        <w:rPr>
          <w:rFonts w:ascii="Palatino Linotype" w:hAnsi="Palatino Linotype" w:eastAsia="Palatino Linotype"/>
        </w:rPr>
        <w:t>Venta de canastas y turismo rural con la comida de la sierra.</w:t>
      </w:r>
    </w:p>
    <w:p>
      <w:pPr>
        <w:spacing w:before="80" w:after="80"/>
      </w:pPr>
      <w:r>
        <w:rPr>
          <w:rFonts w:ascii="Palatino Linotype" w:hAnsi="Palatino Linotype" w:eastAsia="Palatino Linotype"/>
          <w:b w:val="0"/>
          <w:i w:val="0"/>
          <w:color w:val="1B2333"/>
          <w:sz w:val="19"/>
        </w:rPr>
        <w:t>Cultivos: Hortalizas de clima frío, Maíz criollo, Haba, Papa, Frutales de clima templado, Plantas medicinales y quelites.</w:t>
      </w:r>
    </w:p>
    <w:p>
      <w:pPr>
        <w:spacing w:before="0" w:after="80"/>
      </w:pPr>
      <w:r>
        <w:rPr>
          <w:rFonts w:ascii="Palatino Linotype" w:hAnsi="Palatino Linotype" w:eastAsia="Palatino Linotype"/>
          <w:b w:val="0"/>
          <w:i w:val="0"/>
          <w:color w:val="1B2333"/>
          <w:sz w:val="19"/>
        </w:rPr>
        <w:t>Fauna: Borregos y animales de traspatio, Lombrices de composta, Gavilanes, Colibríes, Coyote (Canis latrans), Armadillo (Dasypus novemcinctus).</w:t>
      </w:r>
    </w:p>
    <w:p>
      <w:pPr>
        <w:spacing w:before="0" w:after="80"/>
      </w:pPr>
      <w:r>
        <w:rPr>
          <w:rFonts w:ascii="Palatino Linotype" w:hAnsi="Palatino Linotype" w:eastAsia="Palatino Linotype"/>
          <w:b w:val="0"/>
          <w:i w:val="0"/>
          <w:color w:val="1B2333"/>
          <w:sz w:val="19"/>
        </w:rPr>
        <w:t>Vegetación: Pinos (Pinus spp.), Oyamel (Abies religiosa), Encinos (Quercus spp.), Capulín (Prunus serotina), Tejocote (Crataegus mexicana).</w:t>
      </w:r>
    </w:p>
    <w:p>
      <w:pPr>
        <w:spacing w:before="160" w:after="80"/>
      </w:pPr>
      <w:r>
        <w:rPr>
          <w:rFonts w:ascii="Palatino Linotype" w:hAnsi="Palatino Linotype" w:eastAsia="Palatino Linotype"/>
          <w:b/>
          <w:i w:val="0"/>
          <w:color w:val="1B2333"/>
          <w:sz w:val="20"/>
        </w:rPr>
        <w:t>Notas de campo:</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pPr>
        <w:spacing w:before="0" w:after="80"/>
      </w:pPr>
      <w:r>
        <w:rPr>
          <w:rFonts w:ascii="Palatino Linotype" w:hAnsi="Palatino Linotype" w:eastAsia="Palatino Linotype"/>
          <w:b w:val="0"/>
          <w:i w:val="0"/>
          <w:color w:val="C8CDD8"/>
          <w:sz w:val="20"/>
        </w:rPr>
        <w:t>____________________________________________________________________________________________</w:t>
      </w:r>
    </w:p>
    <w:p>
      <w:r>
        <w:rPr>
          <w:rFonts w:ascii="Palatino Linotype" w:hAnsi="Palatino Linotype" w:eastAsia="Palatino Linotype"/>
        </w:rPr>
        <w:br w:type="page"/>
      </w:r>
    </w:p>
    <w:p>
      <w:pPr>
        <w:keepNext/>
        <w:spacing w:before="0" w:after="100"/>
      </w:pPr>
      <w:r>
        <w:rPr>
          <w:rFonts w:ascii="Palatino Linotype" w:hAnsi="Palatino Linotype" w:eastAsia="Palatino Linotype"/>
          <w:b/>
          <w:i w:val="0"/>
          <w:color w:val="2F3277"/>
          <w:sz w:val="30"/>
        </w:rPr>
        <w:t>Qué llevar</w:t>
      </w:r>
    </w:p>
    <w:p>
      <w:pPr>
        <w:pStyle w:val="ListBullet"/>
      </w:pPr>
      <w:r>
        <w:rPr>
          <w:rFonts w:ascii="Palatino Linotype" w:hAnsi="Palatino Linotype" w:eastAsia="Palatino Linotype"/>
          <w:b/>
        </w:rPr>
        <w:t xml:space="preserve">Ropa abrigadora. </w:t>
      </w:r>
      <w:r>
        <w:rPr>
          <w:rFonts w:ascii="Palatino Linotype" w:hAnsi="Palatino Linotype" w:eastAsia="Palatino Linotype"/>
        </w:rPr>
        <w:t>Se sale con unos 15 °C de Huatusco y se llega a 2,640 m: en noviembre la sierra amanece entre 5 y 10 °C y puede haber neblina y llovizna.</w:t>
      </w:r>
    </w:p>
    <w:p>
      <w:pPr>
        <w:pStyle w:val="ListBullet"/>
      </w:pPr>
      <w:r>
        <w:rPr>
          <w:rFonts w:ascii="Palatino Linotype" w:hAnsi="Palatino Linotype" w:eastAsia="Palatino Linotype"/>
          <w:b/>
        </w:rPr>
        <w:t xml:space="preserve">Impermeable. </w:t>
      </w:r>
      <w:r>
        <w:rPr>
          <w:rFonts w:ascii="Palatino Linotype" w:hAnsi="Palatino Linotype" w:eastAsia="Palatino Linotype"/>
        </w:rPr>
        <w:t>La neblina y la llovizna son comunes en esta ladera; lleva chamarra impermeable o manga.</w:t>
      </w:r>
    </w:p>
    <w:p>
      <w:pPr>
        <w:pStyle w:val="ListBullet"/>
      </w:pPr>
      <w:r>
        <w:rPr>
          <w:rFonts w:ascii="Palatino Linotype" w:hAnsi="Palatino Linotype" w:eastAsia="Palatino Linotype"/>
          <w:b/>
        </w:rPr>
        <w:t xml:space="preserve">Calzado cerrado. </w:t>
      </w:r>
      <w:r>
        <w:rPr>
          <w:rFonts w:ascii="Palatino Linotype" w:hAnsi="Palatino Linotype" w:eastAsia="Palatino Linotype"/>
        </w:rPr>
        <w:t>Se camina en huertos, laderas y el sendero de la cascada; puede haber lodo.</w:t>
      </w:r>
    </w:p>
    <w:p>
      <w:pPr>
        <w:pStyle w:val="ListBullet"/>
      </w:pPr>
      <w:r>
        <w:rPr>
          <w:rFonts w:ascii="Palatino Linotype" w:hAnsi="Palatino Linotype" w:eastAsia="Palatino Linotype"/>
          <w:b/>
        </w:rPr>
        <w:t xml:space="preserve">Bitácora y lápiz. </w:t>
      </w:r>
      <w:r>
        <w:rPr>
          <w:rFonts w:ascii="Palatino Linotype" w:hAnsi="Palatino Linotype" w:eastAsia="Palatino Linotype"/>
        </w:rPr>
        <w:t>Para tus notas en cada sitio; el cuaderno del teléfono es complemento.</w:t>
      </w:r>
    </w:p>
    <w:p>
      <w:pPr>
        <w:pStyle w:val="ListBullet"/>
      </w:pPr>
      <w:r>
        <w:rPr>
          <w:rFonts w:ascii="Palatino Linotype" w:hAnsi="Palatino Linotype" w:eastAsia="Palatino Linotype"/>
          <w:b/>
        </w:rPr>
        <w:t xml:space="preserve">Efectivo. </w:t>
      </w:r>
      <w:r>
        <w:rPr>
          <w:rFonts w:ascii="Palatino Linotype" w:hAnsi="Palatino Linotype" w:eastAsia="Palatino Linotype"/>
        </w:rPr>
        <w:t>Para el desayuno, la comida y para comprar kiwi, arándanos, mermeladas o licor; no hay cajeros.</w:t>
      </w:r>
    </w:p>
    <w:p>
      <w:pPr>
        <w:pStyle w:val="ListBullet"/>
      </w:pPr>
      <w:r>
        <w:rPr>
          <w:rFonts w:ascii="Palatino Linotype" w:hAnsi="Palatino Linotype" w:eastAsia="Palatino Linotype"/>
          <w:b/>
        </w:rPr>
        <w:t xml:space="preserve">Agua y bloqueador. </w:t>
      </w:r>
      <w:r>
        <w:rPr>
          <w:rFonts w:ascii="Palatino Linotype" w:hAnsi="Palatino Linotype" w:eastAsia="Palatino Linotype"/>
        </w:rPr>
        <w:t>El sol de altura quema aunque haga frío.</w:t>
      </w:r>
    </w:p>
    <w:p>
      <w:pPr>
        <w:pStyle w:val="ListBullet"/>
      </w:pPr>
      <w:r>
        <w:rPr>
          <w:rFonts w:ascii="Palatino Linotype" w:hAnsi="Palatino Linotype" w:eastAsia="Palatino Linotype"/>
          <w:b/>
        </w:rPr>
        <w:t xml:space="preserve">Celular cargado. </w:t>
      </w:r>
      <w:r>
        <w:rPr>
          <w:rFonts w:ascii="Palatino Linotype" w:hAnsi="Palatino Linotype" w:eastAsia="Palatino Linotype"/>
        </w:rPr>
        <w:t>Abre la guía antes de salir para que funcione sin señal; lleva batería externa.</w:t>
      </w:r>
    </w:p>
    <w:p>
      <w:pPr>
        <w:keepNext/>
        <w:spacing w:before="240" w:after="100"/>
      </w:pPr>
      <w:r>
        <w:rPr>
          <w:rFonts w:ascii="Palatino Linotype" w:hAnsi="Palatino Linotype" w:eastAsia="Palatino Linotype"/>
          <w:b/>
          <w:i w:val="0"/>
          <w:color w:val="2F3277"/>
          <w:sz w:val="30"/>
        </w:rPr>
        <w:t>Aspectos a tomar en cuenta</w:t>
      </w:r>
    </w:p>
    <w:p>
      <w:pPr>
        <w:pStyle w:val="ListBullet"/>
      </w:pPr>
      <w:r>
        <w:rPr>
          <w:rFonts w:ascii="Palatino Linotype" w:hAnsi="Palatino Linotype" w:eastAsia="Palatino Linotype"/>
          <w:b/>
        </w:rPr>
        <w:t xml:space="preserve">Altura. </w:t>
      </w:r>
      <w:r>
        <w:rPr>
          <w:rFonts w:ascii="Palatino Linotype" w:hAnsi="Palatino Linotype" w:eastAsia="Palatino Linotype"/>
        </w:rPr>
        <w:t>Se pasa de 1,340 a 2,640 m. Camina despacio, hidrátate y avisa si te mareas o te duele la cabeza.</w:t>
      </w:r>
    </w:p>
    <w:p>
      <w:pPr>
        <w:pStyle w:val="ListBullet"/>
      </w:pPr>
      <w:r>
        <w:rPr>
          <w:rFonts w:ascii="Palatino Linotype" w:hAnsi="Palatino Linotype" w:eastAsia="Palatino Linotype"/>
          <w:b/>
        </w:rPr>
        <w:t xml:space="preserve">Respeto. </w:t>
      </w:r>
      <w:r>
        <w:rPr>
          <w:rFonts w:ascii="Palatino Linotype" w:hAnsi="Palatino Linotype" w:eastAsia="Palatino Linotype"/>
        </w:rPr>
        <w:t>Estamos en casas, huertos y comunidades: saluda, pide permiso para fotografiar personas y no cortes fruta sin permiso.</w:t>
      </w:r>
    </w:p>
    <w:p>
      <w:pPr>
        <w:pStyle w:val="ListBullet"/>
      </w:pPr>
      <w:r>
        <w:rPr>
          <w:rFonts w:ascii="Palatino Linotype" w:hAnsi="Palatino Linotype" w:eastAsia="Palatino Linotype"/>
          <w:b/>
        </w:rPr>
        <w:t xml:space="preserve">Puntualidad. </w:t>
      </w:r>
      <w:r>
        <w:rPr>
          <w:rFonts w:ascii="Palatino Linotype" w:hAnsi="Palatino Linotype" w:eastAsia="Palatino Linotype"/>
        </w:rPr>
        <w:t>El recorrido es largo y de montaña: cada retraso se acumula y el regreso es de noche.</w:t>
      </w:r>
    </w:p>
    <w:p>
      <w:pPr>
        <w:pStyle w:val="ListBullet"/>
      </w:pPr>
      <w:r>
        <w:rPr>
          <w:rFonts w:ascii="Palatino Linotype" w:hAnsi="Palatino Linotype" w:eastAsia="Palatino Linotype"/>
          <w:b/>
        </w:rPr>
        <w:t xml:space="preserve">Caminos de montaña. </w:t>
      </w:r>
      <w:r>
        <w:rPr>
          <w:rFonts w:ascii="Palatino Linotype" w:hAnsi="Palatino Linotype" w:eastAsia="Palatino Linotype"/>
        </w:rPr>
        <w:t>Curvas, neblina y tramos de terracería: permanece sentado en el autobús.</w:t>
      </w:r>
    </w:p>
    <w:p>
      <w:pPr>
        <w:pStyle w:val="ListBullet"/>
      </w:pPr>
      <w:r>
        <w:rPr>
          <w:rFonts w:ascii="Palatino Linotype" w:hAnsi="Palatino Linotype" w:eastAsia="Palatino Linotype"/>
          <w:b/>
        </w:rPr>
        <w:t xml:space="preserve">Si te quedas atrás. </w:t>
      </w:r>
      <w:r>
        <w:rPr>
          <w:rFonts w:ascii="Palatino Linotype" w:hAnsi="Palatino Linotype" w:eastAsia="Palatino Linotype"/>
        </w:rPr>
        <w:t>Usa «Cómo llegar» en cada sitio: con señal abre la ruta en Google Maps; sin señal, la guía te dice con el GPS hacia dónde y a cuántos kilómetros está el grupo. Comparte las coordenadas con tu coordinador.</w:t>
      </w:r>
    </w:p>
    <w:p>
      <w:pPr>
        <w:keepNext/>
        <w:spacing w:before="240" w:after="100"/>
      </w:pPr>
      <w:r>
        <w:rPr>
          <w:rFonts w:ascii="Palatino Linotype" w:hAnsi="Palatino Linotype" w:eastAsia="Palatino Linotype"/>
          <w:b/>
          <w:i w:val="0"/>
          <w:color w:val="2F3277"/>
          <w:sz w:val="30"/>
        </w:rPr>
        <w:t>La guía en tu teléfono</w:t>
      </w:r>
    </w:p>
    <w:tbl>
      <w:tblPr>
        <w:tblW w:type="auto" w:w="0"/>
        <w:tblLook w:firstColumn="1" w:firstRow="1" w:lastColumn="0" w:lastRow="0" w:noHBand="0" w:noVBand="1" w:val="04A0"/>
      </w:tblPr>
      <w:tblGrid>
        <w:gridCol w:w="4986"/>
        <w:gridCol w:w="4986"/>
      </w:tblGrid>
      <w:tr>
        <w:tc>
          <w:tcPr>
            <w:tcW w:type="dxa" w:w="2835"/>
          </w:tcPr>
          <w:p>
            <w:r>
              <w:drawing>
                <wp:inline xmlns:a="http://schemas.openxmlformats.org/drawingml/2006/main" xmlns:pic="http://schemas.openxmlformats.org/drawingml/2006/picture">
                  <wp:extent cx="1512000" cy="1512000"/>
                  <wp:docPr id="5" name="Picture 5"/>
                  <wp:cNvGraphicFramePr>
                    <a:graphicFrameLocks noChangeAspect="1"/>
                  </wp:cNvGraphicFramePr>
                  <a:graphic>
                    <a:graphicData uri="http://schemas.openxmlformats.org/drawingml/2006/picture">
                      <pic:pic>
                        <pic:nvPicPr>
                          <pic:cNvPr id="0" name="qr_ruta2.png"/>
                          <pic:cNvPicPr/>
                        </pic:nvPicPr>
                        <pic:blipFill>
                          <a:blip r:embed="rId13"/>
                          <a:stretch>
                            <a:fillRect/>
                          </a:stretch>
                        </pic:blipFill>
                        <pic:spPr>
                          <a:xfrm>
                            <a:off x="0" y="0"/>
                            <a:ext cx="1512000" cy="1512000"/>
                          </a:xfrm>
                          <a:prstGeom prst="rect"/>
                        </pic:spPr>
                      </pic:pic>
                    </a:graphicData>
                  </a:graphic>
                </wp:inline>
              </w:drawing>
            </w:r>
          </w:p>
        </w:tc>
        <w:tc>
          <w:tcPr>
            <w:tcW w:type="dxa" w:w="7087"/>
          </w:tcPr>
          <w:p>
            <w:r/>
            <w:r>
              <w:rPr>
                <w:rFonts w:ascii="Palatino Linotype" w:hAnsi="Palatino Linotype"/>
                <w:b w:val="0"/>
                <w:color w:val="1B2333"/>
                <w:sz w:val="21"/>
              </w:rPr>
              <w:t>Escanea el código con la cámara del teléfono. Ábrela una vez con señal y funcionará sin internet: mapa 3D, ubicación en vivo, «Cómo llegar» a cada sitio, climogramas y cuaderno de campo con fotos.</w:t>
            </w:r>
          </w:p>
          <w:p>
            <w:r>
              <w:rPr>
                <w:color w:val="2F3277"/>
                <w:sz w:val="18"/>
              </w:rPr>
              <w:t>https://hectortecumshe-ai.github.io/recorridos-somexa/2026-ruta-2/</w:t>
            </w:r>
          </w:p>
        </w:tc>
      </w:tr>
    </w:tbl>
    <w:p>
      <w:pPr>
        <w:keepNext/>
        <w:spacing w:before="240" w:after="100"/>
      </w:pPr>
      <w:r>
        <w:rPr>
          <w:rFonts w:ascii="Palatino Linotype" w:hAnsi="Palatino Linotype" w:eastAsia="Palatino Linotype"/>
          <w:b/>
          <w:i w:val="0"/>
          <w:color w:val="2F3277"/>
          <w:sz w:val="30"/>
        </w:rPr>
        <w:t>Más allá del recorrido: aplicaciones para la agroecología</w:t>
      </w:r>
    </w:p>
    <w:p>
      <w:pPr>
        <w:spacing w:before="0" w:after="80"/>
      </w:pPr>
      <w:r>
        <w:rPr>
          <w:rFonts w:ascii="Palatino Linotype" w:hAnsi="Palatino Linotype" w:eastAsia="Palatino Linotype"/>
          <w:b w:val="0"/>
          <w:i w:val="0"/>
          <w:color w:val="1B2333"/>
          <w:sz w:val="21"/>
        </w:rPr>
        <w:t>Lo que hoy observas en campo —el saber campesino, la diversidad de cultivos, el agua, el suelo y los animales— también se puede documentar, medir y planear. La familia Ratio, desarrollada en la Universidad Autónoma Chapingo, reúne aplicaciones libres para el teléfono y la computadora, con instructivos para productores y para científicos y con DOI para citarlas.</w:t>
      </w:r>
    </w:p>
    <w:p>
      <w:pPr>
        <w:spacing w:before="120" w:after="40"/>
      </w:pPr>
      <w:r>
        <w:rPr>
          <w:rFonts w:ascii="Palatino Linotype" w:hAnsi="Palatino Linotype" w:eastAsia="Palatino Linotype"/>
          <w:b/>
          <w:i w:val="0"/>
          <w:color w:val="2F3277"/>
          <w:sz w:val="24"/>
        </w:rPr>
        <w:t>Ratio Complexus · El saber local como sistema complejo adaptativo</w:t>
      </w:r>
    </w:p>
    <w:p>
      <w:pPr>
        <w:spacing w:before="0" w:after="80"/>
      </w:pPr>
      <w:r>
        <w:rPr>
          <w:rFonts w:ascii="Palatino Linotype" w:hAnsi="Palatino Linotype" w:eastAsia="Palatino Linotype"/>
          <w:b w:val="0"/>
          <w:i w:val="0"/>
          <w:color w:val="1B2333"/>
          <w:sz w:val="20"/>
        </w:rPr>
        <w:t>Una parcela, una comunidad y su territorio son sistemas complejos adaptativos: muchos agentes —familias, plantas, animales, suelos, mercados— interactúan, aprenden y se reorganizan ante sequías, plagas o cambios de precio, y de esas interacciones emerge un orden que nadie dirige. Estas aplicaciones tejen ese conocimiento en una red y lo convierten en indicadores de regeneración, riesgo y sostenibilidad, alineados con los 17 Objetivos de Desarrollo Sostenible. Así apoyan la gestión estratégica integrada de los recursos naturales: decidir qué conservar, qué restaurar y dónde intervenir primero.</w:t>
      </w:r>
    </w:p>
    <w:p>
      <w:pPr>
        <w:pStyle w:val="ListBullet"/>
      </w:pPr>
      <w:r>
        <w:rPr>
          <w:rFonts w:ascii="Palatino Linotype" w:hAnsi="Palatino Linotype" w:eastAsia="Palatino Linotype"/>
          <w:b/>
        </w:rPr>
        <w:t xml:space="preserve">Ratio Telar. </w:t>
      </w:r>
      <w:r>
        <w:rPr>
          <w:rFonts w:ascii="Palatino Linotype" w:hAnsi="Palatino Linotype" w:eastAsia="Palatino Linotype"/>
        </w:rPr>
        <w:t xml:space="preserve">El saber agrícola local como sistema complejo adaptativo: red ponderada, cladograma, regeneración, riesgos, sostenibilidad, ODS y prospectiva, de la región a la localidad. </w:t>
      </w:r>
      <w:r>
        <w:rPr>
          <w:rFonts w:ascii="Palatino Linotype" w:hAnsi="Palatino Linotype" w:eastAsia="Palatino Linotype"/>
          <w:color w:val="2F3277"/>
          <w:sz w:val="17"/>
        </w:rPr>
        <w:t>https://hectortecumshe-ai.github.io/RatioTelar/ · DOI 10.5281/zenodo.23429007</w:t>
      </w:r>
    </w:p>
    <w:p>
      <w:pPr>
        <w:pStyle w:val="ListBullet"/>
      </w:pPr>
      <w:r>
        <w:rPr>
          <w:rFonts w:ascii="Palatino Linotype" w:hAnsi="Palatino Linotype" w:eastAsia="Palatino Linotype"/>
          <w:b/>
        </w:rPr>
        <w:t xml:space="preserve">Ratio Milpa. </w:t>
      </w:r>
      <w:r>
        <w:rPr>
          <w:rFonts w:ascii="Palatino Linotype" w:hAnsi="Palatino Linotype" w:eastAsia="Palatino Linotype"/>
        </w:rPr>
        <w:t xml:space="preserve">El conocimiento local del maíz nativo en todo México: 64 razas, un cuestionario para cada localidad y un atlas nacional. </w:t>
      </w:r>
      <w:r>
        <w:rPr>
          <w:rFonts w:ascii="Palatino Linotype" w:hAnsi="Palatino Linotype" w:eastAsia="Palatino Linotype"/>
          <w:color w:val="2F3277"/>
          <w:sz w:val="17"/>
        </w:rPr>
        <w:t>https://hectortecumshe-ai.github.io/RatioMilpa/ · DOI 10.5281/zenodo.23432657</w:t>
      </w:r>
    </w:p>
    <w:p>
      <w:pPr>
        <w:pStyle w:val="ListBullet"/>
      </w:pPr>
      <w:r>
        <w:rPr>
          <w:rFonts w:ascii="Palatino Linotype" w:hAnsi="Palatino Linotype" w:eastAsia="Palatino Linotype"/>
          <w:b/>
        </w:rPr>
        <w:t xml:space="preserve">Ratio Viña. </w:t>
      </w:r>
      <w:r>
        <w:rPr>
          <w:rFonts w:ascii="Palatino Linotype" w:hAnsi="Palatino Linotype" w:eastAsia="Palatino Linotype"/>
        </w:rPr>
        <w:t xml:space="preserve">El conocimiento local de la vid: clima vitícola, historial del viñedo, regeneración y riesgo; su instructivo sigue la uva de mesa de Mata de Zarza, Veracruz. </w:t>
      </w:r>
      <w:r>
        <w:rPr>
          <w:rFonts w:ascii="Palatino Linotype" w:hAnsi="Palatino Linotype" w:eastAsia="Palatino Linotype"/>
          <w:color w:val="2F3277"/>
          <w:sz w:val="17"/>
        </w:rPr>
        <w:t>https://hectortecumshe-ai.github.io/RatioVina/ · DOI 10.5281/zenodo.23481024</w:t>
      </w:r>
    </w:p>
    <w:p>
      <w:pPr>
        <w:spacing w:before="120" w:after="40"/>
      </w:pPr>
      <w:r>
        <w:rPr>
          <w:rFonts w:ascii="Palatino Linotype" w:hAnsi="Palatino Linotype" w:eastAsia="Palatino Linotype"/>
          <w:b/>
          <w:i w:val="0"/>
          <w:color w:val="2F3277"/>
          <w:sz w:val="24"/>
        </w:rPr>
        <w:t>Ratio Nutritio · Dietas para animales con lo que hay en la región</w:t>
      </w:r>
    </w:p>
    <w:p>
      <w:pPr>
        <w:spacing w:before="0" w:after="80"/>
      </w:pPr>
      <w:r>
        <w:rPr>
          <w:rFonts w:ascii="Palatino Linotype" w:hAnsi="Palatino Linotype" w:eastAsia="Palatino Linotype"/>
          <w:b w:val="0"/>
          <w:i w:val="0"/>
          <w:color w:val="1B2333"/>
          <w:sz w:val="20"/>
        </w:rPr>
        <w:t>Formulan raciones de mínimo costo que cumplen los requerimientos nutricionales de cada etapa y permiten comparar ingredientes locales, costos y, en bovinos, la huella ambiental. Ponen en práctica dos elementos de la agroecología: la eficiencia y el reciclaje de los recursos del propio sistema.</w:t>
      </w:r>
    </w:p>
    <w:p>
      <w:pPr>
        <w:pStyle w:val="ListBullet"/>
      </w:pPr>
      <w:r>
        <w:rPr>
          <w:rFonts w:ascii="Palatino Linotype" w:hAnsi="Palatino Linotype" w:eastAsia="Palatino Linotype"/>
          <w:b/>
        </w:rPr>
        <w:t xml:space="preserve">Ratio Bos. </w:t>
      </w:r>
      <w:r>
        <w:rPr>
          <w:rFonts w:ascii="Palatino Linotype" w:hAnsi="Palatino Linotype" w:eastAsia="Palatino Linotype"/>
        </w:rPr>
        <w:t xml:space="preserve">Raciones para bovinos de carne con NASEM (2016), el clima de tu región, programa de engorda y huella ambiental. </w:t>
      </w:r>
      <w:r>
        <w:rPr>
          <w:rFonts w:ascii="Palatino Linotype" w:hAnsi="Palatino Linotype" w:eastAsia="Palatino Linotype"/>
          <w:color w:val="2F3277"/>
          <w:sz w:val="17"/>
        </w:rPr>
        <w:t>https://hectortecumshe-ai.github.io/RatioBos/ · DOI 10.5281/zenodo.23197134</w:t>
      </w:r>
    </w:p>
    <w:p>
      <w:pPr>
        <w:pStyle w:val="ListBullet"/>
      </w:pPr>
      <w:r>
        <w:rPr>
          <w:rFonts w:ascii="Palatino Linotype" w:hAnsi="Palatino Linotype" w:eastAsia="Palatino Linotype"/>
          <w:b/>
        </w:rPr>
        <w:t xml:space="preserve">Ratio Avis. </w:t>
      </w:r>
      <w:r>
        <w:rPr>
          <w:rFonts w:ascii="Palatino Linotype" w:hAnsi="Palatino Linotype" w:eastAsia="Palatino Linotype"/>
        </w:rPr>
        <w:t xml:space="preserve">Dietas por fase para pollo de engorda, con ajustes por altitud y calor y certificado de optimalidad. </w:t>
      </w:r>
      <w:r>
        <w:rPr>
          <w:rFonts w:ascii="Palatino Linotype" w:hAnsi="Palatino Linotype" w:eastAsia="Palatino Linotype"/>
          <w:color w:val="2F3277"/>
          <w:sz w:val="17"/>
        </w:rPr>
        <w:t>https://hectortecumshe-ai.github.io/RatioAvis/ · DOI 10.5281/zenodo.23123050</w:t>
      </w:r>
    </w:p>
    <w:p>
      <w:pPr>
        <w:pStyle w:val="ListBullet"/>
      </w:pPr>
      <w:r>
        <w:rPr>
          <w:rFonts w:ascii="Palatino Linotype" w:hAnsi="Palatino Linotype" w:eastAsia="Palatino Linotype"/>
          <w:b/>
        </w:rPr>
        <w:t xml:space="preserve">FormulAves. </w:t>
      </w:r>
      <w:r>
        <w:rPr>
          <w:rFonts w:ascii="Palatino Linotype" w:hAnsi="Palatino Linotype" w:eastAsia="Palatino Linotype"/>
        </w:rPr>
        <w:t xml:space="preserve">La primera de la familia: formular, mezclar y costear la dieta del pollo paso a paso, toda en español. </w:t>
      </w:r>
      <w:r>
        <w:rPr>
          <w:rFonts w:ascii="Palatino Linotype" w:hAnsi="Palatino Linotype" w:eastAsia="Palatino Linotype"/>
          <w:color w:val="2F3277"/>
          <w:sz w:val="17"/>
        </w:rPr>
        <w:t>https://hectortecumshe-ai.github.io/FormulAves/ · DOI 10.5281/zenodo.23094626</w:t>
      </w:r>
    </w:p>
    <w:p>
      <w:pPr>
        <w:spacing w:before="80" w:after="80"/>
      </w:pPr>
      <w:r>
        <w:rPr>
          <w:rFonts w:ascii="Palatino Linotype" w:hAnsi="Palatino Linotype" w:eastAsia="Palatino Linotype"/>
          <w:b w:val="0"/>
          <w:i/>
          <w:color w:val="1B2333"/>
          <w:sz w:val="20"/>
        </w:rPr>
        <w:t>La resiliencia, uno de los diez elementos de la agroecología, no es resistir sin cambiar: es la capacidad de un sistema de absorber una perturbación y reorganizarse sin perder su identidad. La diversidad, las sinergias y el conocimiento compartido que verás en este recorrido son justamente lo que la sostiene, y estas herramientas ayudan a medirla y a cuidarla.</w:t>
      </w:r>
    </w:p>
    <w:tbl>
      <w:tblPr>
        <w:tblW w:type="auto" w:w="0"/>
        <w:tblLook w:firstColumn="1" w:firstRow="1" w:lastColumn="0" w:lastRow="0" w:noHBand="0" w:noVBand="1" w:val="04A0"/>
      </w:tblPr>
      <w:tblGrid>
        <w:gridCol w:w="4986"/>
        <w:gridCol w:w="4986"/>
      </w:tblGrid>
      <w:tr>
        <w:tc>
          <w:tcPr>
            <w:tcW w:type="dxa" w:w="4986"/>
          </w:tcPr>
          <w:p>
            <w:pPr>
              <w:jc w:val="center"/>
            </w:pPr>
            <w:r>
              <w:drawing>
                <wp:inline xmlns:a="http://schemas.openxmlformats.org/drawingml/2006/main" xmlns:pic="http://schemas.openxmlformats.org/drawingml/2006/picture">
                  <wp:extent cx="1296000" cy="1296000"/>
                  <wp:docPr id="6" name="Picture 6"/>
                  <wp:cNvGraphicFramePr>
                    <a:graphicFrameLocks noChangeAspect="1"/>
                  </wp:cNvGraphicFramePr>
                  <a:graphic>
                    <a:graphicData uri="http://schemas.openxmlformats.org/drawingml/2006/picture">
                      <pic:pic>
                        <pic:nvPicPr>
                          <pic:cNvPr id="0" name="qr_ratio_telar.png"/>
                          <pic:cNvPicPr/>
                        </pic:nvPicPr>
                        <pic:blipFill>
                          <a:blip r:embed="rId14"/>
                          <a:stretch>
                            <a:fillRect/>
                          </a:stretch>
                        </pic:blipFill>
                        <pic:spPr>
                          <a:xfrm>
                            <a:off x="0" y="0"/>
                            <a:ext cx="1296000" cy="1296000"/>
                          </a:xfrm>
                          <a:prstGeom prst="rect"/>
                        </pic:spPr>
                      </pic:pic>
                    </a:graphicData>
                  </a:graphic>
                </wp:inline>
              </w:drawing>
            </w:r>
          </w:p>
        </w:tc>
        <w:tc>
          <w:tcPr>
            <w:tcW w:type="dxa" w:w="4986"/>
          </w:tcPr>
          <w:p>
            <w:pPr>
              <w:jc w:val="center"/>
            </w:pPr>
            <w:r>
              <w:drawing>
                <wp:inline xmlns:a="http://schemas.openxmlformats.org/drawingml/2006/main" xmlns:pic="http://schemas.openxmlformats.org/drawingml/2006/picture">
                  <wp:extent cx="1296000" cy="1296000"/>
                  <wp:docPr id="7" name="Picture 7"/>
                  <wp:cNvGraphicFramePr>
                    <a:graphicFrameLocks noChangeAspect="1"/>
                  </wp:cNvGraphicFramePr>
                  <a:graphic>
                    <a:graphicData uri="http://schemas.openxmlformats.org/drawingml/2006/picture">
                      <pic:pic>
                        <pic:nvPicPr>
                          <pic:cNvPr id="0" name="qr_ratio_portal.png"/>
                          <pic:cNvPicPr/>
                        </pic:nvPicPr>
                        <pic:blipFill>
                          <a:blip r:embed="rId15"/>
                          <a:stretch>
                            <a:fillRect/>
                          </a:stretch>
                        </pic:blipFill>
                        <pic:spPr>
                          <a:xfrm>
                            <a:off x="0" y="0"/>
                            <a:ext cx="1296000" cy="1296000"/>
                          </a:xfrm>
                          <a:prstGeom prst="rect"/>
                        </pic:spPr>
                      </pic:pic>
                    </a:graphicData>
                  </a:graphic>
                </wp:inline>
              </w:drawing>
            </w:r>
          </w:p>
        </w:tc>
      </w:tr>
      <w:tr>
        <w:tc>
          <w:tcPr>
            <w:tcW w:type="dxa" w:w="4986"/>
          </w:tcPr>
          <w:p>
            <w:pPr>
              <w:jc w:val="center"/>
            </w:pPr>
            <w:r/>
            <w:r>
              <w:rPr>
                <w:rFonts w:ascii="Palatino Linotype" w:hAnsi="Palatino Linotype"/>
                <w:b/>
                <w:color w:val="1B2333"/>
                <w:sz w:val="20"/>
              </w:rPr>
              <w:t>Ratio Telar</w:t>
            </w:r>
          </w:p>
          <w:p>
            <w:pPr>
              <w:jc w:val="center"/>
            </w:pPr>
            <w:r>
              <w:rPr>
                <w:color w:val="2F3277"/>
                <w:sz w:val="17"/>
              </w:rPr>
              <w:t>https://hectortecumshe-ai.github.io/RatioTelar/</w:t>
            </w:r>
          </w:p>
        </w:tc>
        <w:tc>
          <w:tcPr>
            <w:tcW w:type="dxa" w:w="4986"/>
          </w:tcPr>
          <w:p>
            <w:pPr>
              <w:jc w:val="center"/>
            </w:pPr>
            <w:r/>
            <w:r>
              <w:rPr>
                <w:rFonts w:ascii="Palatino Linotype" w:hAnsi="Palatino Linotype"/>
                <w:b/>
                <w:color w:val="1B2333"/>
                <w:sz w:val="20"/>
              </w:rPr>
              <w:t>Toda la familia Ratio</w:t>
            </w:r>
          </w:p>
          <w:p>
            <w:pPr>
              <w:jc w:val="center"/>
            </w:pPr>
            <w:r>
              <w:rPr>
                <w:color w:val="2F3277"/>
                <w:sz w:val="17"/>
              </w:rPr>
              <w:t>https://hectortecumshe-ai.github.io/</w:t>
            </w:r>
          </w:p>
        </w:tc>
      </w:tr>
    </w:tbl>
    <w:p>
      <w:pPr>
        <w:spacing w:before="80" w:after="80"/>
      </w:pPr>
      <w:r>
        <w:rPr>
          <w:rFonts w:ascii="Palatino Linotype" w:hAnsi="Palatino Linotype" w:eastAsia="Palatino Linotype"/>
          <w:b w:val="0"/>
          <w:i w:val="0"/>
          <w:color w:val="586274"/>
          <w:sz w:val="18"/>
        </w:rPr>
        <w:t>Todas son gratuitas, funcionan en el navegador y pueden usarse sin internet una vez abiertas.</w:t>
      </w:r>
    </w:p>
    <w:p>
      <w:pPr>
        <w:keepNext/>
        <w:spacing w:before="240" w:after="100"/>
      </w:pPr>
      <w:r>
        <w:rPr>
          <w:rFonts w:ascii="Palatino Linotype" w:hAnsi="Palatino Linotype" w:eastAsia="Palatino Linotype"/>
          <w:b/>
          <w:i w:val="0"/>
          <w:color w:val="2F3277"/>
          <w:sz w:val="30"/>
        </w:rPr>
        <w:t>Créditos y cómo citar</w:t>
      </w:r>
    </w:p>
    <w:p>
      <w:pPr>
        <w:spacing w:before="0" w:after="80"/>
      </w:pPr>
      <w:r>
        <w:rPr>
          <w:rFonts w:ascii="Palatino Linotype" w:hAnsi="Palatino Linotype" w:eastAsia="Palatino Linotype"/>
          <w:b w:val="0"/>
          <w:i w:val="0"/>
          <w:color w:val="1B2333"/>
          <w:sz w:val="20"/>
        </w:rPr>
        <w:t>Autores de la guía: Héctor Tecumshé Mojica Zárate, José Gervasio Partida Sedas, Óscar Díaz José, Sergio Alejo Bello y José Orlando Rojas Reyes. Universidad Autónoma Chapingo · Centro Académico Regional Huatusco. Facilitador del recorrido: Óscar Díaz José. Itinerario: Dr. José Gervasio Partida Sedas.</w:t>
      </w:r>
    </w:p>
    <w:p>
      <w:pPr>
        <w:spacing w:before="0" w:after="80"/>
      </w:pPr>
      <w:r>
        <w:rPr>
          <w:rFonts w:ascii="Palatino Linotype" w:hAnsi="Palatino Linotype" w:eastAsia="Palatino Linotype"/>
          <w:b w:val="0"/>
          <w:i w:val="0"/>
          <w:color w:val="586274"/>
          <w:sz w:val="18"/>
        </w:rPr>
        <w:t>Coordenadas tomadas en campo y corroboradas con OpenStreetMap; altitudes SRTM; tiempos OSRM. Clima: normales del Servicio Meteorológico Nacional y clasificación de Köppen modificada por E. García (2004). Identidad de los lugares: monografías municipales, inventarios parroquiales (ADABI) y estudios del Colegio de Postgraduados y de la Universidad Autónoma Chapingo.</w:t>
      </w:r>
    </w:p>
    <w:p>
      <w:pPr>
        <w:spacing w:before="80" w:after="80"/>
      </w:pPr>
      <w:r>
        <w:rPr>
          <w:rFonts w:ascii="Palatino Linotype" w:hAnsi="Palatino Linotype" w:eastAsia="Palatino Linotype"/>
          <w:b w:val="0"/>
          <w:i w:val="0"/>
          <w:color w:val="1B2333"/>
          <w:sz w:val="20"/>
        </w:rPr>
        <w:t>Mojica-Zárate, H. T., Partida-Sedas, J. G., Díaz-José, Ó., Alejo-Bello, S., y Rojas-Reyes, J. O. (2026). Ruta de Altura: guía de campo para celular del recorrido SOMEXA 2026, Ruta 2, frutales de montaña y agroecología en las faldas del Citlaltépetl (Versión 1.0.1) [Software]. Zenodo. https://doi.org/10.5281/zenodo.23642837</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Palatino Linotype" w:hAnsi="Palatino Linotype" w:eastAsia="Palatino Linotyp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