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ook w:firstColumn="1" w:firstRow="1" w:lastColumn="0" w:lastRow="0" w:noHBand="0" w:noVBand="1" w:val="04A0"/>
      </w:tblPr>
      <w:tblGrid>
        <w:gridCol w:w="4675"/>
        <w:gridCol w:w="4675"/>
        <w:gridCol w:w="4675"/>
      </w:tblGrid>
      <w:tr>
        <w:tc>
          <w:tcPr>
            <w:tcW w:type="dxa" w:w="1474"/>
          </w:tcPr>
          <w:p>
            <w:r>
              <w:drawing>
                <wp:inline xmlns:a="http://schemas.openxmlformats.org/drawingml/2006/main" xmlns:pic="http://schemas.openxmlformats.org/drawingml/2006/picture">
                  <wp:extent cx="840074" cy="864000"/>
                  <wp:docPr id="1" name="Picture 1"/>
                  <wp:cNvGraphicFramePr>
                    <a:graphicFrameLocks noChangeAspect="1"/>
                  </wp:cNvGraphicFramePr>
                  <a:graphic>
                    <a:graphicData uri="http://schemas.openxmlformats.org/drawingml/2006/picture">
                      <pic:pic>
                        <pic:nvPicPr>
                          <pic:cNvPr id="0" name="logo_somexa_original.jpg"/>
                          <pic:cNvPicPr/>
                        </pic:nvPicPr>
                        <pic:blipFill>
                          <a:blip r:embed="rId9"/>
                          <a:stretch>
                            <a:fillRect/>
                          </a:stretch>
                        </pic:blipFill>
                        <pic:spPr>
                          <a:xfrm>
                            <a:off x="0" y="0"/>
                            <a:ext cx="840074" cy="864000"/>
                          </a:xfrm>
                          <a:prstGeom prst="rect"/>
                        </pic:spPr>
                      </pic:pic>
                    </a:graphicData>
                  </a:graphic>
                </wp:inline>
              </w:drawing>
            </w:r>
          </w:p>
        </w:tc>
        <w:tc>
          <w:tcPr>
            <w:tcW w:type="dxa" w:w="1474"/>
          </w:tcPr>
          <w:p>
            <w:r>
              <w:drawing>
                <wp:inline xmlns:a="http://schemas.openxmlformats.org/drawingml/2006/main" xmlns:pic="http://schemas.openxmlformats.org/drawingml/2006/picture">
                  <wp:extent cx="830389" cy="864000"/>
                  <wp:docPr id="2" name="Picture 2"/>
                  <wp:cNvGraphicFramePr>
                    <a:graphicFrameLocks noChangeAspect="1"/>
                  </wp:cNvGraphicFramePr>
                  <a:graphic>
                    <a:graphicData uri="http://schemas.openxmlformats.org/drawingml/2006/picture">
                      <pic:pic>
                        <pic:nvPicPr>
                          <pic:cNvPr id="0" name="logo_uach_web.jpg"/>
                          <pic:cNvPicPr/>
                        </pic:nvPicPr>
                        <pic:blipFill>
                          <a:blip r:embed="rId10"/>
                          <a:stretch>
                            <a:fillRect/>
                          </a:stretch>
                        </pic:blipFill>
                        <pic:spPr>
                          <a:xfrm>
                            <a:off x="0" y="0"/>
                            <a:ext cx="830389" cy="864000"/>
                          </a:xfrm>
                          <a:prstGeom prst="rect"/>
                        </pic:spPr>
                      </pic:pic>
                    </a:graphicData>
                  </a:graphic>
                </wp:inline>
              </w:drawing>
            </w:r>
          </w:p>
        </w:tc>
        <w:tc>
          <w:tcPr>
            <w:tcW w:type="dxa" w:w="10715"/>
            <w:vAlign w:val="center"/>
          </w:tcPr>
          <w:p>
            <w:r>
              <w:rPr>
                <w:b/>
                <w:color w:val="1B2618"/>
                <w:sz w:val="22"/>
              </w:rPr>
              <w:t>IV CONGRESO MEXICANO DE AGROECOLOGÍA 2026</w:t>
            </w:r>
          </w:p>
          <w:p>
            <w:r>
              <w:rPr>
                <w:i/>
                <w:sz w:val="20"/>
              </w:rPr>
              <w:t>«Ciencia y saber campesino para construir soberanía alimentaria y energética»</w:t>
            </w:r>
          </w:p>
        </w:tc>
      </w:tr>
    </w:tbl>
    <w:p>
      <w:pPr>
        <w:spacing w:after="40"/>
      </w:pPr>
      <w:r>
        <w:rPr>
          <w:b w:val="0"/>
          <w:sz w:val="20"/>
        </w:rPr>
      </w:r>
    </w:p>
    <w:p>
      <w:pPr>
        <w:spacing w:after="0"/>
      </w:pPr>
      <w:r>
        <w:rPr>
          <w:b/>
          <w:color w:val="A63D24"/>
          <w:sz w:val="18"/>
        </w:rPr>
        <w:t>SOMEXA · SALIDA DE CAMPO</w:t>
      </w:r>
    </w:p>
    <w:p>
      <w:pPr>
        <w:spacing w:after="40"/>
      </w:pPr>
      <w:r>
        <w:rPr>
          <w:b/>
          <w:color w:val="1B2618"/>
          <w:sz w:val="34"/>
        </w:rPr>
        <w:t>Recorrido por zonas tropicales de agricultura agroecológica</w:t>
      </w:r>
    </w:p>
    <w:p>
      <w:pPr>
        <w:spacing w:after="40"/>
      </w:pPr>
      <w:r>
        <w:rPr>
          <w:b w:val="0"/>
          <w:sz w:val="20"/>
        </w:rPr>
        <w:t>Sábado 14 de noviembre de 2026 · Salida 07:30 del Centro Académico Regional (CAR), Huatusco, Veracruz · Recorrido de un día, cerca de 82 km más el regreso</w:t>
      </w:r>
    </w:p>
    <w:p>
      <w:pPr>
        <w:spacing w:after="40"/>
      </w:pPr>
      <w:r>
        <w:rPr>
          <w:b/>
          <w:sz w:val="20"/>
        </w:rPr>
        <w:t>Facilitador del recorrido: Dr. Héctor Tecumshé Mojica Zárate</w:t>
      </w:r>
    </w:p>
    <w:p>
      <w:pPr>
        <w:spacing w:after="120"/>
      </w:pPr>
      <w:r>
        <w:rPr>
          <w:b w:val="0"/>
          <w:sz w:val="17"/>
        </w:rPr>
        <w:t>Elaboración: Héctor Tecumshé Mojica-Zárate, José Gervasio Partida-Sedas, Sergio Alejo-Bello, José Orlando Rojas-Reyes, Óscar Díaz-José. Universidad Autónoma Chapingo, Centro Académico Regional Huatusco. Versión 1.1.1 · DOI: https://doi.org/10.5281/zenodo.23642683</w:t>
      </w:r>
    </w:p>
    <w:p>
      <w:pPr>
        <w:jc w:val="center"/>
      </w:pPr>
      <w:r>
        <w:drawing>
          <wp:inline xmlns:a="http://schemas.openxmlformats.org/drawingml/2006/main" xmlns:pic="http://schemas.openxmlformats.org/drawingml/2006/picture">
            <wp:extent cx="4860000" cy="2612250"/>
            <wp:docPr id="3" name="Picture 3"/>
            <wp:cNvGraphicFramePr>
              <a:graphicFrameLocks noChangeAspect="1"/>
            </wp:cNvGraphicFramePr>
            <a:graphic>
              <a:graphicData uri="http://schemas.openxmlformats.org/drawingml/2006/picture">
                <pic:pic>
                  <pic:nvPicPr>
                    <pic:cNvPr id="0" name="mapa_recorrido.png"/>
                    <pic:cNvPicPr/>
                  </pic:nvPicPr>
                  <pic:blipFill>
                    <a:blip r:embed="rId11"/>
                    <a:stretch>
                      <a:fillRect/>
                    </a:stretch>
                  </pic:blipFill>
                  <pic:spPr>
                    <a:xfrm>
                      <a:off x="0" y="0"/>
                      <a:ext cx="4860000" cy="2612250"/>
                    </a:xfrm>
                    <a:prstGeom prst="rect"/>
                  </pic:spPr>
                </pic:pic>
              </a:graphicData>
            </a:graphic>
          </wp:inline>
        </w:drawing>
      </w:r>
    </w:p>
    <w:p>
      <w:pPr>
        <w:spacing w:after="120"/>
        <w:jc w:val="center"/>
      </w:pPr>
      <w:r>
        <w:rPr>
          <w:b w:val="0"/>
          <w:sz w:val="17"/>
        </w:rPr>
        <w:t>Figura 1. Ruta del recorrido sobre el relieve de la zona. S: salida; 1 a 4: sitios de observación; línea discontinua: regreso a Huatusco.</w:t>
      </w:r>
    </w:p>
    <w:p>
      <w:pPr>
        <w:spacing w:after="40"/>
      </w:pPr>
      <w:r>
        <w:rPr>
          <w:b/>
          <w:color w:val="1B2618"/>
          <w:sz w:val="22"/>
        </w:rPr>
        <w:t>Notas</w:t>
      </w:r>
    </w:p>
    <w:p>
      <w:pPr>
        <w:pStyle w:val="ListBullet"/>
        <w:spacing w:after="20"/>
      </w:pPr>
      <w:r>
        <w:rPr>
          <w:sz w:val="18"/>
        </w:rPr>
        <w:t>Horarios, distancias y altitudes son aproximados. La ruta y los tiempos se calcularon con OpenStreetMap y se ajustaron para autobús en caminos rurales; las altitudes provienen de un modelo digital de elevación.</w:t>
      </w:r>
    </w:p>
    <w:p>
      <w:pPr>
        <w:pStyle w:val="ListBullet"/>
        <w:spacing w:after="20"/>
      </w:pPr>
      <w:r>
        <w:rPr>
          <w:sz w:val="18"/>
        </w:rPr>
        <w:t>La vegetación, el suelo, el clima, los cultivos y la fauna describen lo que predomina en cada zona; el perfil agroecológico es una guía de observación y conviene confirmarlo con los productores.</w:t>
      </w:r>
    </w:p>
    <w:p>
      <w:pPr>
        <w:pStyle w:val="ListBullet"/>
        <w:spacing w:after="20"/>
      </w:pPr>
      <w:r>
        <w:rPr>
          <w:sz w:val="18"/>
        </w:rPr>
        <w:t>Llevar ropa por capas (salida fresca a 1,300 m y tarde calurosa bajo 500 m), sombrero, bloqueador, agua, calzado cerrado, libreta y efectivo para comprar productos.</w:t>
      </w:r>
    </w:p>
    <w:p>
      <w:pPr>
        <w:pStyle w:val="ListBullet"/>
        <w:spacing w:after="20"/>
      </w:pPr>
      <w:r>
        <w:rPr>
          <w:sz w:val="18"/>
        </w:rPr>
        <w:t>El sol se pone cerca de las 17:50; el regreso a Huatusco se hace con poca luz.</w:t>
      </w:r>
    </w:p>
    <w:p>
      <w:r>
        <w:br w:type="page"/>
      </w:r>
    </w:p>
    <w:p>
      <w:pPr>
        <w:spacing w:after="80"/>
      </w:pPr>
      <w:r>
        <w:rPr>
          <w:b/>
          <w:color w:val="1B2618"/>
          <w:sz w:val="28"/>
        </w:rPr>
        <w:t>Itinerario</w:t>
      </w:r>
    </w:p>
    <w:tbl>
      <w:tblPr>
        <w:tblStyle w:val="TableGrid"/>
        <w:tblW w:type="auto" w:w="0"/>
        <w:jc w:val="center"/>
        <w:tblLook w:firstColumn="1" w:firstRow="1" w:lastColumn="0" w:lastRow="0" w:noHBand="0" w:noVBand="1" w:val="04A0"/>
      </w:tblPr>
      <w:tblGrid>
        <w:gridCol w:w="2004"/>
        <w:gridCol w:w="2004"/>
        <w:gridCol w:w="2004"/>
        <w:gridCol w:w="2004"/>
        <w:gridCol w:w="2004"/>
        <w:gridCol w:w="2004"/>
        <w:gridCol w:w="2004"/>
      </w:tblGrid>
      <w:tr>
        <w:trPr>
          <w:tblHeader w:val="true"/>
        </w:trPr>
        <w:tc>
          <w:tcPr>
            <w:tcW w:type="dxa" w:w="1077"/>
            <w:shd w:val="clear" w:fill="1B2618"/>
          </w:tcPr>
          <w:p>
            <w:r/>
            <w:r>
              <w:rPr>
                <w:b/>
                <w:color w:val="FFFFFF"/>
                <w:sz w:val="18"/>
              </w:rPr>
              <w:t>Hora</w:t>
            </w:r>
          </w:p>
        </w:tc>
        <w:tc>
          <w:tcPr>
            <w:tcW w:type="dxa" w:w="1757"/>
            <w:shd w:val="clear" w:fill="1B2618"/>
          </w:tcPr>
          <w:p>
            <w:r/>
            <w:r>
              <w:rPr>
                <w:b/>
                <w:color w:val="FFFFFF"/>
                <w:sz w:val="18"/>
              </w:rPr>
              <w:t>Lugar</w:t>
            </w:r>
          </w:p>
        </w:tc>
        <w:tc>
          <w:tcPr>
            <w:tcW w:type="dxa" w:w="2608"/>
            <w:shd w:val="clear" w:fill="1B2618"/>
          </w:tcPr>
          <w:p>
            <w:r/>
            <w:r>
              <w:rPr>
                <w:b/>
                <w:color w:val="FFFFFF"/>
                <w:sz w:val="18"/>
              </w:rPr>
              <w:t>Actividad</w:t>
            </w:r>
          </w:p>
        </w:tc>
        <w:tc>
          <w:tcPr>
            <w:tcW w:type="dxa" w:w="964"/>
            <w:shd w:val="clear" w:fill="1B2618"/>
          </w:tcPr>
          <w:p>
            <w:r/>
            <w:r>
              <w:rPr>
                <w:b/>
                <w:color w:val="FFFFFF"/>
                <w:sz w:val="18"/>
              </w:rPr>
              <w:t>Altitud (msnm)</w:t>
            </w:r>
          </w:p>
        </w:tc>
        <w:tc>
          <w:tcPr>
            <w:tcW w:type="dxa" w:w="2268"/>
            <w:shd w:val="clear" w:fill="1B2618"/>
          </w:tcPr>
          <w:p>
            <w:r/>
            <w:r>
              <w:rPr>
                <w:b/>
                <w:color w:val="FFFFFF"/>
                <w:sz w:val="18"/>
              </w:rPr>
              <w:t>Vegetación</w:t>
            </w:r>
          </w:p>
        </w:tc>
        <w:tc>
          <w:tcPr>
            <w:tcW w:type="dxa" w:w="2098"/>
            <w:shd w:val="clear" w:fill="1B2618"/>
          </w:tcPr>
          <w:p>
            <w:r/>
            <w:r>
              <w:rPr>
                <w:b/>
                <w:color w:val="FFFFFF"/>
                <w:sz w:val="18"/>
              </w:rPr>
              <w:t>Suelo</w:t>
            </w:r>
          </w:p>
        </w:tc>
        <w:tc>
          <w:tcPr>
            <w:tcW w:type="dxa" w:w="3231"/>
            <w:shd w:val="clear" w:fill="1B2618"/>
          </w:tcPr>
          <w:p>
            <w:r/>
            <w:r>
              <w:rPr>
                <w:b/>
                <w:color w:val="FFFFFF"/>
                <w:sz w:val="18"/>
              </w:rPr>
              <w:t>Paisaje</w:t>
            </w:r>
          </w:p>
        </w:tc>
      </w:tr>
      <w:tr>
        <w:tc>
          <w:tcPr>
            <w:tcW w:type="dxa" w:w="1077"/>
            <w:vAlign w:val="top"/>
          </w:tcPr>
          <w:p>
            <w:pPr>
              <w:spacing w:after="0"/>
            </w:pPr>
            <w:r/>
            <w:r>
              <w:rPr>
                <w:i w:val="0"/>
                <w:sz w:val="17"/>
              </w:rPr>
              <w:t>07:30 (salida)</w:t>
            </w:r>
          </w:p>
        </w:tc>
        <w:tc>
          <w:tcPr>
            <w:tcW w:type="dxa" w:w="1757"/>
            <w:vAlign w:val="top"/>
          </w:tcPr>
          <w:p>
            <w:pPr>
              <w:spacing w:after="0"/>
            </w:pPr>
            <w:r/>
            <w:r>
              <w:rPr>
                <w:b/>
                <w:sz w:val="17"/>
              </w:rPr>
              <w:t>S. Centro Académico Regional (CAR)</w:t>
            </w:r>
            <w:r>
              <w:rPr>
                <w:sz w:val="16"/>
              </w:rPr>
              <w:br/>
              <w:t>Huatusco, Ver.</w:t>
            </w:r>
          </w:p>
        </w:tc>
        <w:tc>
          <w:tcPr>
            <w:tcW w:type="dxa" w:w="2608"/>
            <w:vAlign w:val="top"/>
          </w:tcPr>
          <w:p>
            <w:pPr>
              <w:spacing w:after="0"/>
            </w:pPr>
            <w:r/>
            <w:r>
              <w:rPr>
                <w:i w:val="0"/>
                <w:sz w:val="17"/>
              </w:rPr>
              <w:t>Punto de reunión y salida del recorrido.</w:t>
            </w:r>
          </w:p>
        </w:tc>
        <w:tc>
          <w:tcPr>
            <w:tcW w:type="dxa" w:w="964"/>
            <w:vAlign w:val="top"/>
          </w:tcPr>
          <w:p>
            <w:pPr>
              <w:spacing w:after="0"/>
            </w:pPr>
            <w:r/>
            <w:r>
              <w:rPr>
                <w:i w:val="0"/>
                <w:sz w:val="17"/>
              </w:rPr>
              <w:t>1,322</w:t>
            </w:r>
          </w:p>
        </w:tc>
        <w:tc>
          <w:tcPr>
            <w:tcW w:type="dxa" w:w="2268"/>
            <w:vAlign w:val="top"/>
          </w:tcPr>
          <w:p>
            <w:pPr>
              <w:spacing w:after="0"/>
            </w:pPr>
            <w:r/>
            <w:r>
              <w:rPr>
                <w:i w:val="0"/>
                <w:sz w:val="17"/>
              </w:rPr>
              <w:t>Cafetales bajo sombra de chalahuite (Inga spp.) y relictos de bosque mesófilo de montaña.</w:t>
            </w:r>
          </w:p>
        </w:tc>
        <w:tc>
          <w:tcPr>
            <w:tcW w:type="dxa" w:w="2098"/>
            <w:vAlign w:val="top"/>
          </w:tcPr>
          <w:p>
            <w:pPr>
              <w:spacing w:after="0"/>
            </w:pPr>
            <w:r/>
            <w:r>
              <w:rPr>
                <w:i w:val="0"/>
                <w:sz w:val="17"/>
              </w:rPr>
              <w:t>Andosoles de ceniza volcánica: profundos, oscuros y ricos en materia orgánica.</w:t>
            </w:r>
          </w:p>
        </w:tc>
        <w:tc>
          <w:tcPr>
            <w:tcW w:type="dxa" w:w="3231"/>
            <w:vAlign w:val="top"/>
          </w:tcPr>
          <w:p>
            <w:pPr>
              <w:spacing w:after="0"/>
            </w:pPr>
            <w:r/>
            <w:r>
              <w:rPr>
                <w:i w:val="0"/>
                <w:sz w:val="17"/>
              </w:rPr>
              <w:t>Zona alta de montaña, húmeda, con cafetales y barrancas.</w:t>
            </w:r>
          </w:p>
        </w:tc>
      </w:tr>
      <w:tr>
        <w:tc>
          <w:tcPr>
            <w:tcW w:type="dxa" w:w="1077"/>
            <w:vAlign w:val="top"/>
            <w:shd w:val="clear" w:fill="EEF0E4"/>
          </w:tcPr>
          <w:p>
            <w:pPr>
              <w:spacing w:after="0"/>
            </w:pPr>
            <w:r/>
            <w:r>
              <w:rPr>
                <w:i/>
                <w:sz w:val="17"/>
              </w:rPr>
              <w:t>07:30 a 08:25</w:t>
            </w:r>
          </w:p>
        </w:tc>
        <w:tc>
          <w:tcPr>
            <w:tcW w:type="dxa" w:w="1757"/>
            <w:vAlign w:val="top"/>
            <w:shd w:val="clear" w:fill="EEF0E4"/>
          </w:tcPr>
          <w:p>
            <w:pPr>
              <w:spacing w:after="0"/>
            </w:pPr>
            <w:r/>
            <w:r>
              <w:rPr>
                <w:b/>
                <w:sz w:val="17"/>
              </w:rPr>
              <w:t>Traslado</w:t>
            </w:r>
            <w:r>
              <w:rPr>
                <w:sz w:val="16"/>
              </w:rPr>
              <w:br/>
              <w:t>37.1 km, ≈55 min</w:t>
            </w:r>
          </w:p>
        </w:tc>
        <w:tc>
          <w:tcPr>
            <w:tcW w:type="dxa" w:w="3231"/>
            <w:gridSpan w:val="5"/>
            <w:vAlign w:val="top"/>
            <w:shd w:val="clear" w:fill="EEF0E4"/>
          </w:tcPr>
          <w:p>
            <w:pPr>
              <w:spacing w:after="0"/>
            </w:pPr>
            <w:r/>
            <w:r>
              <w:rPr>
                <w:i/>
                <w:sz w:val="17"/>
              </w:rPr>
              <w:t>Descenso de 1,320 a 470 m por Totutla (Tecomatla y El Mirador) hacia Puente Nacional. Cafetal bajo sombra y caña de azúcar en la parte alta; abajo, lomeríos con potreros, frutales y selva baja.</w:t>
            </w:r>
          </w:p>
        </w:tc>
      </w:tr>
      <w:tr>
        <w:tc>
          <w:tcPr>
            <w:tcW w:type="dxa" w:w="1077"/>
            <w:vAlign w:val="top"/>
          </w:tcPr>
          <w:p>
            <w:pPr>
              <w:spacing w:after="0"/>
            </w:pPr>
            <w:r/>
            <w:r>
              <w:rPr>
                <w:i w:val="0"/>
                <w:sz w:val="17"/>
              </w:rPr>
              <w:t>08:25 a 10:15</w:t>
            </w:r>
          </w:p>
        </w:tc>
        <w:tc>
          <w:tcPr>
            <w:tcW w:type="dxa" w:w="1757"/>
            <w:vAlign w:val="top"/>
          </w:tcPr>
          <w:p>
            <w:pPr>
              <w:spacing w:after="0"/>
            </w:pPr>
            <w:r/>
            <w:r>
              <w:rPr>
                <w:b/>
                <w:sz w:val="17"/>
              </w:rPr>
              <w:t>1. Mata de Zarza</w:t>
            </w:r>
            <w:r>
              <w:rPr>
                <w:sz w:val="16"/>
              </w:rPr>
              <w:br/>
              <w:t>Puente Nacional, Ver.</w:t>
            </w:r>
          </w:p>
        </w:tc>
        <w:tc>
          <w:tcPr>
            <w:tcW w:type="dxa" w:w="2608"/>
            <w:vAlign w:val="top"/>
          </w:tcPr>
          <w:p>
            <w:pPr>
              <w:spacing w:after="0"/>
            </w:pPr>
            <w:r/>
            <w:r>
              <w:rPr>
                <w:i w:val="0"/>
                <w:sz w:val="17"/>
              </w:rPr>
              <w:t>Cultivo de la vid y otras experiencias con productores de Mata de Zarza.</w:t>
            </w:r>
          </w:p>
        </w:tc>
        <w:tc>
          <w:tcPr>
            <w:tcW w:type="dxa" w:w="964"/>
            <w:vAlign w:val="top"/>
          </w:tcPr>
          <w:p>
            <w:pPr>
              <w:spacing w:after="0"/>
            </w:pPr>
            <w:r/>
            <w:r>
              <w:rPr>
                <w:i w:val="0"/>
                <w:sz w:val="17"/>
              </w:rPr>
              <w:t>472</w:t>
            </w:r>
          </w:p>
        </w:tc>
        <w:tc>
          <w:tcPr>
            <w:tcW w:type="dxa" w:w="2268"/>
            <w:vAlign w:val="top"/>
          </w:tcPr>
          <w:p>
            <w:pPr>
              <w:spacing w:after="0"/>
            </w:pPr>
            <w:r/>
            <w:r>
              <w:rPr>
                <w:i w:val="0"/>
                <w:sz w:val="17"/>
              </w:rPr>
              <w:t>Viñedos, huertos frutales y potreros, con selva baja caducifolia alrededor.</w:t>
            </w:r>
          </w:p>
        </w:tc>
        <w:tc>
          <w:tcPr>
            <w:tcW w:type="dxa" w:w="2098"/>
            <w:vAlign w:val="top"/>
          </w:tcPr>
          <w:p>
            <w:pPr>
              <w:spacing w:after="0"/>
            </w:pPr>
            <w:r/>
            <w:r>
              <w:rPr>
                <w:i w:val="0"/>
                <w:sz w:val="17"/>
              </w:rPr>
              <w:t>Suelos arcillosos de lomerío, someros en laderas con afloramientos de roca.</w:t>
            </w:r>
          </w:p>
        </w:tc>
        <w:tc>
          <w:tcPr>
            <w:tcW w:type="dxa" w:w="3231"/>
            <w:vAlign w:val="top"/>
          </w:tcPr>
          <w:p>
            <w:pPr>
              <w:spacing w:after="0"/>
            </w:pPr>
            <w:r/>
            <w:r>
              <w:rPr>
                <w:i w:val="0"/>
                <w:sz w:val="17"/>
              </w:rPr>
              <w:t>Tras bajar unos 850 m desde Huatusco por Totutla, el cafetal y la caña dan paso a lomeríos cálidos con frutales, potreros y selva baja.</w:t>
            </w:r>
          </w:p>
        </w:tc>
      </w:tr>
      <w:tr>
        <w:tc>
          <w:tcPr>
            <w:tcW w:type="dxa" w:w="1077"/>
            <w:vAlign w:val="top"/>
            <w:shd w:val="clear" w:fill="EEF0E4"/>
          </w:tcPr>
          <w:p>
            <w:pPr>
              <w:spacing w:after="0"/>
            </w:pPr>
            <w:r/>
            <w:r>
              <w:rPr>
                <w:i/>
                <w:sz w:val="17"/>
              </w:rPr>
              <w:t>10:15 a 10:30</w:t>
            </w:r>
          </w:p>
        </w:tc>
        <w:tc>
          <w:tcPr>
            <w:tcW w:type="dxa" w:w="1757"/>
            <w:vAlign w:val="top"/>
            <w:shd w:val="clear" w:fill="EEF0E4"/>
          </w:tcPr>
          <w:p>
            <w:pPr>
              <w:spacing w:after="0"/>
            </w:pPr>
            <w:r/>
            <w:r>
              <w:rPr>
                <w:b/>
                <w:sz w:val="17"/>
              </w:rPr>
              <w:t>Traslado</w:t>
            </w:r>
            <w:r>
              <w:rPr>
                <w:sz w:val="16"/>
              </w:rPr>
              <w:br/>
              <w:t>4.4 km, ≈15 min</w:t>
            </w:r>
          </w:p>
        </w:tc>
        <w:tc>
          <w:tcPr>
            <w:tcW w:type="dxa" w:w="3231"/>
            <w:gridSpan w:val="5"/>
            <w:vAlign w:val="top"/>
            <w:shd w:val="clear" w:fill="EEF0E4"/>
          </w:tcPr>
          <w:p>
            <w:pPr>
              <w:spacing w:after="0"/>
            </w:pPr>
            <w:r/>
            <w:r>
              <w:rPr>
                <w:i/>
                <w:sz w:val="17"/>
              </w:rPr>
              <w:t>Traslado corto entre comunidades vecinas de Puente Nacional.</w:t>
            </w:r>
          </w:p>
        </w:tc>
      </w:tr>
      <w:tr>
        <w:tc>
          <w:tcPr>
            <w:tcW w:type="dxa" w:w="1077"/>
            <w:vAlign w:val="top"/>
          </w:tcPr>
          <w:p>
            <w:pPr>
              <w:spacing w:after="0"/>
            </w:pPr>
            <w:r/>
            <w:r>
              <w:rPr>
                <w:i w:val="0"/>
                <w:sz w:val="17"/>
              </w:rPr>
              <w:t>10:30 a 11:50</w:t>
            </w:r>
          </w:p>
        </w:tc>
        <w:tc>
          <w:tcPr>
            <w:tcW w:type="dxa" w:w="1757"/>
            <w:vAlign w:val="top"/>
          </w:tcPr>
          <w:p>
            <w:pPr>
              <w:spacing w:after="0"/>
            </w:pPr>
            <w:r/>
            <w:r>
              <w:rPr>
                <w:b/>
                <w:sz w:val="17"/>
              </w:rPr>
              <w:t>2. Hato de la Higuera</w:t>
            </w:r>
            <w:r>
              <w:rPr>
                <w:sz w:val="16"/>
              </w:rPr>
              <w:br/>
              <w:t>Puente Nacional, Ver.</w:t>
            </w:r>
          </w:p>
        </w:tc>
        <w:tc>
          <w:tcPr>
            <w:tcW w:type="dxa" w:w="2608"/>
            <w:vAlign w:val="top"/>
          </w:tcPr>
          <w:p>
            <w:pPr>
              <w:spacing w:after="0"/>
            </w:pPr>
            <w:r/>
            <w:r>
              <w:rPr>
                <w:i w:val="0"/>
                <w:sz w:val="17"/>
              </w:rPr>
              <w:t>Planta procesadora de pulpa de guanábana y de otras frutas.</w:t>
            </w:r>
          </w:p>
        </w:tc>
        <w:tc>
          <w:tcPr>
            <w:tcW w:type="dxa" w:w="964"/>
            <w:vAlign w:val="top"/>
          </w:tcPr>
          <w:p>
            <w:pPr>
              <w:spacing w:after="0"/>
            </w:pPr>
            <w:r/>
            <w:r>
              <w:rPr>
                <w:i w:val="0"/>
                <w:sz w:val="17"/>
              </w:rPr>
              <w:t>455</w:t>
            </w:r>
          </w:p>
        </w:tc>
        <w:tc>
          <w:tcPr>
            <w:tcW w:type="dxa" w:w="2268"/>
            <w:vAlign w:val="top"/>
          </w:tcPr>
          <w:p>
            <w:pPr>
              <w:spacing w:after="0"/>
            </w:pPr>
            <w:r/>
            <w:r>
              <w:rPr>
                <w:i w:val="0"/>
                <w:sz w:val="17"/>
              </w:rPr>
              <w:t>Huertos de guanábana, mango y otros frutales, con selva baja caducifolia en laderas.</w:t>
            </w:r>
          </w:p>
        </w:tc>
        <w:tc>
          <w:tcPr>
            <w:tcW w:type="dxa" w:w="2098"/>
            <w:vAlign w:val="top"/>
          </w:tcPr>
          <w:p>
            <w:pPr>
              <w:spacing w:after="0"/>
            </w:pPr>
            <w:r/>
            <w:r>
              <w:rPr>
                <w:i w:val="0"/>
                <w:sz w:val="17"/>
              </w:rPr>
              <w:t>Suelos arcillosos de lomerío, someros en laderas con afloramientos de roca.</w:t>
            </w:r>
          </w:p>
        </w:tc>
        <w:tc>
          <w:tcPr>
            <w:tcW w:type="dxa" w:w="3231"/>
            <w:vAlign w:val="top"/>
          </w:tcPr>
          <w:p>
            <w:pPr>
              <w:spacing w:after="0"/>
            </w:pPr>
            <w:r/>
            <w:r>
              <w:rPr>
                <w:i w:val="0"/>
                <w:sz w:val="17"/>
              </w:rPr>
              <w:t>A menos de 2 km de Mata de Zarza: el mismo paisaje de lomeríos cálidos con frutales.</w:t>
            </w:r>
          </w:p>
        </w:tc>
      </w:tr>
      <w:tr>
        <w:tc>
          <w:tcPr>
            <w:tcW w:type="dxa" w:w="1077"/>
            <w:vAlign w:val="top"/>
            <w:shd w:val="clear" w:fill="EEF0E4"/>
          </w:tcPr>
          <w:p>
            <w:pPr>
              <w:spacing w:after="0"/>
            </w:pPr>
            <w:r/>
            <w:r>
              <w:rPr>
                <w:i/>
                <w:sz w:val="17"/>
              </w:rPr>
              <w:t>11:50 a 12:50</w:t>
            </w:r>
          </w:p>
        </w:tc>
        <w:tc>
          <w:tcPr>
            <w:tcW w:type="dxa" w:w="1757"/>
            <w:vAlign w:val="top"/>
            <w:shd w:val="clear" w:fill="EEF0E4"/>
          </w:tcPr>
          <w:p>
            <w:pPr>
              <w:spacing w:after="0"/>
            </w:pPr>
            <w:r/>
            <w:r>
              <w:rPr>
                <w:b/>
                <w:sz w:val="17"/>
              </w:rPr>
              <w:t>Traslado</w:t>
            </w:r>
            <w:r>
              <w:rPr>
                <w:sz w:val="16"/>
              </w:rPr>
              <w:br/>
              <w:t>33.2 km, ≈60 min</w:t>
            </w:r>
          </w:p>
        </w:tc>
        <w:tc>
          <w:tcPr>
            <w:tcW w:type="dxa" w:w="3231"/>
            <w:gridSpan w:val="5"/>
            <w:vAlign w:val="top"/>
            <w:shd w:val="clear" w:fill="EEF0E4"/>
          </w:tcPr>
          <w:p>
            <w:pPr>
              <w:spacing w:after="0"/>
            </w:pPr>
            <w:r/>
            <w:r>
              <w:rPr>
                <w:i/>
                <w:sz w:val="17"/>
              </w:rPr>
              <w:t>Bajada a la barranca de Acazónica (Paso de Ovejas, cerca de 170 m), el punto más bajo y caluroso, con selva baja caducifolia. Luego se sube a los lomeríos ganaderos de Comapa (545 m).</w:t>
            </w:r>
          </w:p>
        </w:tc>
      </w:tr>
      <w:tr>
        <w:tc>
          <w:tcPr>
            <w:tcW w:type="dxa" w:w="1077"/>
            <w:vAlign w:val="top"/>
          </w:tcPr>
          <w:p>
            <w:pPr>
              <w:spacing w:after="0"/>
            </w:pPr>
            <w:r/>
            <w:r>
              <w:rPr>
                <w:i w:val="0"/>
                <w:sz w:val="17"/>
              </w:rPr>
              <w:t>12:50 a 14:20</w:t>
            </w:r>
          </w:p>
        </w:tc>
        <w:tc>
          <w:tcPr>
            <w:tcW w:type="dxa" w:w="1757"/>
            <w:vAlign w:val="top"/>
          </w:tcPr>
          <w:p>
            <w:pPr>
              <w:spacing w:after="0"/>
            </w:pPr>
            <w:r/>
            <w:r>
              <w:rPr>
                <w:b/>
                <w:sz w:val="17"/>
              </w:rPr>
              <w:t>3. El Coyol</w:t>
            </w:r>
            <w:r>
              <w:rPr>
                <w:sz w:val="16"/>
              </w:rPr>
              <w:br/>
              <w:t>Comapa, Ver.</w:t>
            </w:r>
          </w:p>
        </w:tc>
        <w:tc>
          <w:tcPr>
            <w:tcW w:type="dxa" w:w="2608"/>
            <w:vAlign w:val="top"/>
          </w:tcPr>
          <w:p>
            <w:pPr>
              <w:spacing w:after="0"/>
            </w:pPr>
            <w:r/>
            <w:r>
              <w:rPr>
                <w:i w:val="0"/>
                <w:sz w:val="17"/>
              </w:rPr>
              <w:t>Comunidad ganadera: elaboración artesanal del queso tradicional jarocho.</w:t>
            </w:r>
          </w:p>
        </w:tc>
        <w:tc>
          <w:tcPr>
            <w:tcW w:type="dxa" w:w="964"/>
            <w:vAlign w:val="top"/>
          </w:tcPr>
          <w:p>
            <w:pPr>
              <w:spacing w:after="0"/>
            </w:pPr>
            <w:r/>
            <w:r>
              <w:rPr>
                <w:i w:val="0"/>
                <w:sz w:val="17"/>
              </w:rPr>
              <w:t>545</w:t>
            </w:r>
          </w:p>
        </w:tc>
        <w:tc>
          <w:tcPr>
            <w:tcW w:type="dxa" w:w="2268"/>
            <w:vAlign w:val="top"/>
          </w:tcPr>
          <w:p>
            <w:pPr>
              <w:spacing w:after="0"/>
            </w:pPr>
            <w:r/>
            <w:r>
              <w:rPr>
                <w:i w:val="0"/>
                <w:sz w:val="17"/>
              </w:rPr>
              <w:t>Pastizales para ganado (estrella, guinea), cercas vivas y árboles dispersos como guácimo y cocuite.</w:t>
            </w:r>
          </w:p>
        </w:tc>
        <w:tc>
          <w:tcPr>
            <w:tcW w:type="dxa" w:w="2098"/>
            <w:vAlign w:val="top"/>
          </w:tcPr>
          <w:p>
            <w:pPr>
              <w:spacing w:after="0"/>
            </w:pPr>
            <w:r/>
            <w:r>
              <w:rPr>
                <w:i w:val="0"/>
                <w:sz w:val="17"/>
              </w:rPr>
              <w:t>Vertisoles arcillosos que se agrietan en la temporada seca.</w:t>
            </w:r>
          </w:p>
        </w:tc>
        <w:tc>
          <w:tcPr>
            <w:tcW w:type="dxa" w:w="3231"/>
            <w:vAlign w:val="top"/>
          </w:tcPr>
          <w:p>
            <w:pPr>
              <w:spacing w:after="0"/>
            </w:pPr>
            <w:r/>
            <w:r>
              <w:rPr>
                <w:i w:val="0"/>
                <w:sz w:val="17"/>
              </w:rPr>
              <w:t>Después de cruzar la barranca de Acazónica (cerca de 170 m) se sube a los lomeríos ganaderos de Comapa: dominan los potreros.</w:t>
            </w:r>
          </w:p>
        </w:tc>
      </w:tr>
      <w:tr>
        <w:tc>
          <w:tcPr>
            <w:tcW w:type="dxa" w:w="1077"/>
            <w:vAlign w:val="top"/>
            <w:shd w:val="clear" w:fill="EEF0E4"/>
          </w:tcPr>
          <w:p>
            <w:pPr>
              <w:spacing w:after="0"/>
            </w:pPr>
            <w:r/>
            <w:r>
              <w:rPr>
                <w:i/>
                <w:sz w:val="17"/>
              </w:rPr>
              <w:t>14:20 a 14:40</w:t>
            </w:r>
          </w:p>
        </w:tc>
        <w:tc>
          <w:tcPr>
            <w:tcW w:type="dxa" w:w="1757"/>
            <w:vAlign w:val="top"/>
            <w:shd w:val="clear" w:fill="EEF0E4"/>
          </w:tcPr>
          <w:p>
            <w:pPr>
              <w:spacing w:after="0"/>
            </w:pPr>
            <w:r/>
            <w:r>
              <w:rPr>
                <w:b/>
                <w:sz w:val="17"/>
              </w:rPr>
              <w:t>Traslado</w:t>
            </w:r>
            <w:r>
              <w:rPr>
                <w:sz w:val="16"/>
              </w:rPr>
              <w:br/>
              <w:t>7.8 km, ≈20 min</w:t>
            </w:r>
          </w:p>
        </w:tc>
        <w:tc>
          <w:tcPr>
            <w:tcW w:type="dxa" w:w="3231"/>
            <w:gridSpan w:val="5"/>
            <w:vAlign w:val="top"/>
            <w:shd w:val="clear" w:fill="EEF0E4"/>
          </w:tcPr>
          <w:p>
            <w:pPr>
              <w:spacing w:after="0"/>
            </w:pPr>
            <w:r/>
            <w:r>
              <w:rPr>
                <w:i/>
                <w:sz w:val="17"/>
              </w:rPr>
              <w:t>Tramo corto en lomeríos de 530 a 550 m, entre potreros y milpas.</w:t>
            </w:r>
          </w:p>
        </w:tc>
      </w:tr>
      <w:tr>
        <w:tc>
          <w:tcPr>
            <w:tcW w:type="dxa" w:w="1077"/>
            <w:vAlign w:val="top"/>
          </w:tcPr>
          <w:p>
            <w:pPr>
              <w:spacing w:after="0"/>
            </w:pPr>
            <w:r/>
            <w:r>
              <w:rPr>
                <w:i w:val="0"/>
                <w:sz w:val="17"/>
              </w:rPr>
              <w:t>14:40 a 17:15</w:t>
            </w:r>
          </w:p>
        </w:tc>
        <w:tc>
          <w:tcPr>
            <w:tcW w:type="dxa" w:w="1757"/>
            <w:vAlign w:val="top"/>
          </w:tcPr>
          <w:p>
            <w:pPr>
              <w:spacing w:after="0"/>
            </w:pPr>
            <w:r/>
            <w:r>
              <w:rPr>
                <w:b/>
                <w:sz w:val="17"/>
              </w:rPr>
              <w:t>4. Paso Pimienta</w:t>
            </w:r>
            <w:r>
              <w:rPr>
                <w:sz w:val="16"/>
              </w:rPr>
              <w:br/>
              <w:t>Comapa, Ver.</w:t>
            </w:r>
          </w:p>
        </w:tc>
        <w:tc>
          <w:tcPr>
            <w:tcW w:type="dxa" w:w="2608"/>
            <w:vAlign w:val="top"/>
          </w:tcPr>
          <w:p>
            <w:pPr>
              <w:spacing w:after="0"/>
            </w:pPr>
            <w:r/>
            <w:r>
              <w:rPr>
                <w:i w:val="0"/>
                <w:sz w:val="17"/>
              </w:rPr>
              <w:t>Integración de la producción de maíz criollo, nixtamalización y venta de tortillas. Comida y cierre del recorrido.</w:t>
            </w:r>
          </w:p>
        </w:tc>
        <w:tc>
          <w:tcPr>
            <w:tcW w:type="dxa" w:w="964"/>
            <w:vAlign w:val="top"/>
          </w:tcPr>
          <w:p>
            <w:pPr>
              <w:spacing w:after="0"/>
            </w:pPr>
            <w:r/>
            <w:r>
              <w:rPr>
                <w:i w:val="0"/>
                <w:sz w:val="17"/>
              </w:rPr>
              <w:t>549</w:t>
            </w:r>
          </w:p>
        </w:tc>
        <w:tc>
          <w:tcPr>
            <w:tcW w:type="dxa" w:w="2268"/>
            <w:vAlign w:val="top"/>
          </w:tcPr>
          <w:p>
            <w:pPr>
              <w:spacing w:after="0"/>
            </w:pPr>
            <w:r/>
            <w:r>
              <w:rPr>
                <w:i w:val="0"/>
                <w:sz w:val="17"/>
              </w:rPr>
              <w:t>Milpa con maíz criollo, potreros, cercas vivas (cocuite, palo mulato) y relictos de selva mediana subcaducifolia.</w:t>
            </w:r>
          </w:p>
        </w:tc>
        <w:tc>
          <w:tcPr>
            <w:tcW w:type="dxa" w:w="2098"/>
            <w:vAlign w:val="top"/>
          </w:tcPr>
          <w:p>
            <w:pPr>
              <w:spacing w:after="0"/>
            </w:pPr>
            <w:r/>
            <w:r>
              <w:rPr>
                <w:i w:val="0"/>
                <w:sz w:val="17"/>
              </w:rPr>
              <w:t>Suelos arcillosos de lomerío, de rojizos a oscuros (luvisoles y vertisoles).</w:t>
            </w:r>
          </w:p>
        </w:tc>
        <w:tc>
          <w:tcPr>
            <w:tcW w:type="dxa" w:w="3231"/>
            <w:vAlign w:val="top"/>
          </w:tcPr>
          <w:p>
            <w:pPr>
              <w:spacing w:after="0"/>
            </w:pPr>
            <w:r/>
            <w:r>
              <w:rPr>
                <w:i w:val="0"/>
                <w:sz w:val="17"/>
              </w:rPr>
              <w:t>Misma altitud que El Coyol; junto a los potreros aparecen milpas y parcelas de maíz criollo.</w:t>
            </w:r>
          </w:p>
        </w:tc>
      </w:tr>
      <w:tr>
        <w:tc>
          <w:tcPr>
            <w:tcW w:type="dxa" w:w="1077"/>
            <w:vAlign w:val="top"/>
            <w:shd w:val="clear" w:fill="EEF0E4"/>
          </w:tcPr>
          <w:p>
            <w:pPr>
              <w:spacing w:after="0"/>
            </w:pPr>
            <w:r/>
            <w:r>
              <w:rPr>
                <w:i/>
                <w:sz w:val="17"/>
              </w:rPr>
              <w:t>17:15 a 18:25</w:t>
            </w:r>
          </w:p>
        </w:tc>
        <w:tc>
          <w:tcPr>
            <w:tcW w:type="dxa" w:w="1757"/>
            <w:vAlign w:val="top"/>
            <w:shd w:val="clear" w:fill="EEF0E4"/>
          </w:tcPr>
          <w:p>
            <w:pPr>
              <w:spacing w:after="0"/>
            </w:pPr>
            <w:r/>
            <w:r>
              <w:rPr>
                <w:b/>
                <w:sz w:val="17"/>
              </w:rPr>
              <w:t>Regreso a Huatusco</w:t>
            </w:r>
            <w:r>
              <w:rPr>
                <w:sz w:val="16"/>
              </w:rPr>
              <w:br/>
              <w:t>37.1 km, ≈70 min</w:t>
            </w:r>
          </w:p>
        </w:tc>
        <w:tc>
          <w:tcPr>
            <w:tcW w:type="dxa" w:w="3231"/>
            <w:gridSpan w:val="5"/>
            <w:vAlign w:val="top"/>
            <w:shd w:val="clear" w:fill="EEF0E4"/>
          </w:tcPr>
          <w:p>
            <w:pPr>
              <w:spacing w:after="0"/>
            </w:pPr>
            <w:r/>
            <w:r>
              <w:rPr>
                <w:i/>
                <w:sz w:val="17"/>
              </w:rPr>
              <w:t>Regreso a Huatusco por Boca del Monte y Xonotla: se suben unos 770 m, de la milpa al cafetal. El sol se pone cerca de las 17:50, así que el ascenso a la montaña se hace con poca luz.</w:t>
            </w:r>
          </w:p>
        </w:tc>
      </w:tr>
    </w:tbl>
    <w:p>
      <w:pPr>
        <w:spacing w:after="80"/>
      </w:pPr>
      <w:r>
        <w:rPr>
          <w:b w:val="0"/>
          <w:sz w:val="20"/>
        </w:rPr>
      </w:r>
    </w:p>
    <w:p>
      <w:pPr>
        <w:spacing w:after="80"/>
      </w:pPr>
      <w:r>
        <w:rPr>
          <w:b/>
          <w:color w:val="1B2618"/>
          <w:sz w:val="24"/>
        </w:rPr>
        <w:t>Actividades por sitio</w:t>
      </w:r>
    </w:p>
    <w:tbl>
      <w:tblPr>
        <w:tblStyle w:val="TableGrid"/>
        <w:tblW w:type="auto" w:w="0"/>
        <w:jc w:val="center"/>
        <w:tblLook w:firstColumn="1" w:firstRow="1" w:lastColumn="0" w:lastRow="0" w:noHBand="0" w:noVBand="1" w:val="04A0"/>
      </w:tblPr>
      <w:tblGrid>
        <w:gridCol w:w="2805"/>
        <w:gridCol w:w="2805"/>
        <w:gridCol w:w="2805"/>
        <w:gridCol w:w="2805"/>
        <w:gridCol w:w="2805"/>
      </w:tblGrid>
      <w:tr>
        <w:tc>
          <w:tcPr>
            <w:tcW w:type="dxa" w:w="3118"/>
            <w:shd w:val="clear" w:fill="E6E8D8"/>
          </w:tcPr>
          <w:p>
            <w:pPr>
              <w:spacing w:after="0"/>
            </w:pPr>
            <w:r>
              <w:rPr>
                <w:sz w:val="18"/>
              </w:rPr>
            </w:r>
            <w:r>
              <w:rPr>
                <w:b/>
                <w:sz w:val="18"/>
              </w:rPr>
              <w:t>Actividad</w:t>
            </w:r>
          </w:p>
        </w:tc>
        <w:tc>
          <w:tcPr>
            <w:tcW w:type="dxa" w:w="2154"/>
            <w:shd w:val="clear" w:fill="E6E8D8"/>
          </w:tcPr>
          <w:p>
            <w:pPr>
              <w:spacing w:after="0"/>
            </w:pPr>
            <w:r>
              <w:rPr>
                <w:sz w:val="18"/>
              </w:rPr>
            </w:r>
            <w:r>
              <w:rPr>
                <w:b/>
                <w:sz w:val="18"/>
              </w:rPr>
              <w:t>1. Mata de Zarza</w:t>
            </w:r>
          </w:p>
        </w:tc>
        <w:tc>
          <w:tcPr>
            <w:tcW w:type="dxa" w:w="2154"/>
            <w:shd w:val="clear" w:fill="E6E8D8"/>
          </w:tcPr>
          <w:p>
            <w:pPr>
              <w:spacing w:after="0"/>
            </w:pPr>
            <w:r>
              <w:rPr>
                <w:sz w:val="18"/>
              </w:rPr>
            </w:r>
            <w:r>
              <w:rPr>
                <w:b/>
                <w:sz w:val="18"/>
              </w:rPr>
              <w:t>2. Hato de la Higuera</w:t>
            </w:r>
          </w:p>
        </w:tc>
        <w:tc>
          <w:tcPr>
            <w:tcW w:type="dxa" w:w="2154"/>
            <w:shd w:val="clear" w:fill="E6E8D8"/>
          </w:tcPr>
          <w:p>
            <w:pPr>
              <w:spacing w:after="0"/>
            </w:pPr>
            <w:r>
              <w:rPr>
                <w:sz w:val="18"/>
              </w:rPr>
            </w:r>
            <w:r>
              <w:rPr>
                <w:b/>
                <w:sz w:val="18"/>
              </w:rPr>
              <w:t>3. El Coyol</w:t>
            </w:r>
          </w:p>
        </w:tc>
        <w:tc>
          <w:tcPr>
            <w:tcW w:type="dxa" w:w="2154"/>
            <w:shd w:val="clear" w:fill="E6E8D8"/>
          </w:tcPr>
          <w:p>
            <w:pPr>
              <w:spacing w:after="0"/>
            </w:pPr>
            <w:r>
              <w:rPr>
                <w:sz w:val="18"/>
              </w:rPr>
            </w:r>
            <w:r>
              <w:rPr>
                <w:b/>
                <w:sz w:val="18"/>
              </w:rPr>
              <w:t>4. Paso Pimienta</w:t>
            </w:r>
          </w:p>
        </w:tc>
      </w:tr>
      <w:tr>
        <w:tc>
          <w:tcPr>
            <w:tcW w:type="dxa" w:w="3118"/>
          </w:tcPr>
          <w:p>
            <w:pPr>
              <w:spacing w:after="0"/>
            </w:pPr>
            <w:r>
              <w:rPr>
                <w:sz w:val="18"/>
              </w:rPr>
              <w:t>Vid</w:t>
            </w:r>
          </w:p>
        </w:tc>
        <w:tc>
          <w:tcPr>
            <w:tcW w:type="dxa" w:w="2154"/>
          </w:tcPr>
          <w:p>
            <w:pPr>
              <w:spacing w:after="0"/>
              <w:jc w:val="center"/>
            </w:pPr>
            <w:r>
              <w:rPr>
                <w:sz w:val="18"/>
              </w:rPr>
              <w:t>●</w:t>
            </w:r>
          </w:p>
        </w:tc>
        <w:tc>
          <w:tcPr>
            <w:tcW w:type="dxa" w:w="2154"/>
          </w:tcPr>
          <w:p>
            <w:pPr>
              <w:spacing w:after="0"/>
              <w:jc w:val="center"/>
            </w:pPr>
            <w:r>
              <w:rPr>
                <w:sz w:val="18"/>
              </w:rPr>
            </w:r>
          </w:p>
        </w:tc>
        <w:tc>
          <w:tcPr>
            <w:tcW w:type="dxa" w:w="2154"/>
          </w:tcPr>
          <w:p>
            <w:pPr>
              <w:spacing w:after="0"/>
              <w:jc w:val="center"/>
            </w:pPr>
            <w:r>
              <w:rPr>
                <w:sz w:val="18"/>
              </w:rPr>
            </w:r>
          </w:p>
        </w:tc>
        <w:tc>
          <w:tcPr>
            <w:tcW w:type="dxa" w:w="2154"/>
          </w:tcPr>
          <w:p>
            <w:pPr>
              <w:spacing w:after="0"/>
              <w:jc w:val="center"/>
            </w:pPr>
            <w:r>
              <w:rPr>
                <w:sz w:val="18"/>
              </w:rPr>
            </w:r>
          </w:p>
        </w:tc>
      </w:tr>
      <w:tr>
        <w:tc>
          <w:tcPr>
            <w:tcW w:type="dxa" w:w="3118"/>
          </w:tcPr>
          <w:p>
            <w:pPr>
              <w:spacing w:after="0"/>
            </w:pPr>
            <w:r>
              <w:rPr>
                <w:sz w:val="18"/>
              </w:rPr>
              <w:t>Fruticultura</w:t>
            </w:r>
          </w:p>
        </w:tc>
        <w:tc>
          <w:tcPr>
            <w:tcW w:type="dxa" w:w="2154"/>
          </w:tcPr>
          <w:p>
            <w:pPr>
              <w:spacing w:after="0"/>
              <w:jc w:val="center"/>
            </w:pPr>
            <w:r>
              <w:rPr>
                <w:sz w:val="18"/>
              </w:rPr>
              <w:t>●</w:t>
            </w:r>
          </w:p>
        </w:tc>
        <w:tc>
          <w:tcPr>
            <w:tcW w:type="dxa" w:w="2154"/>
          </w:tcPr>
          <w:p>
            <w:pPr>
              <w:spacing w:after="0"/>
              <w:jc w:val="center"/>
            </w:pPr>
            <w:r>
              <w:rPr>
                <w:sz w:val="18"/>
              </w:rPr>
              <w:t>●</w:t>
            </w:r>
          </w:p>
        </w:tc>
        <w:tc>
          <w:tcPr>
            <w:tcW w:type="dxa" w:w="2154"/>
          </w:tcPr>
          <w:p>
            <w:pPr>
              <w:spacing w:after="0"/>
              <w:jc w:val="center"/>
            </w:pPr>
            <w:r>
              <w:rPr>
                <w:sz w:val="18"/>
              </w:rPr>
            </w:r>
          </w:p>
        </w:tc>
        <w:tc>
          <w:tcPr>
            <w:tcW w:type="dxa" w:w="2154"/>
          </w:tcPr>
          <w:p>
            <w:pPr>
              <w:spacing w:after="0"/>
              <w:jc w:val="center"/>
            </w:pPr>
            <w:r>
              <w:rPr>
                <w:sz w:val="18"/>
              </w:rPr>
            </w:r>
          </w:p>
        </w:tc>
      </w:tr>
      <w:tr>
        <w:tc>
          <w:tcPr>
            <w:tcW w:type="dxa" w:w="3118"/>
          </w:tcPr>
          <w:p>
            <w:pPr>
              <w:spacing w:after="0"/>
            </w:pPr>
            <w:r>
              <w:rPr>
                <w:sz w:val="18"/>
              </w:rPr>
              <w:t>Transformación artesanal</w:t>
            </w:r>
          </w:p>
        </w:tc>
        <w:tc>
          <w:tcPr>
            <w:tcW w:type="dxa" w:w="2154"/>
          </w:tcPr>
          <w:p>
            <w:pPr>
              <w:spacing w:after="0"/>
              <w:jc w:val="center"/>
            </w:pPr>
            <w:r>
              <w:rPr>
                <w:sz w:val="18"/>
              </w:rPr>
            </w:r>
          </w:p>
        </w:tc>
        <w:tc>
          <w:tcPr>
            <w:tcW w:type="dxa" w:w="2154"/>
          </w:tcPr>
          <w:p>
            <w:pPr>
              <w:spacing w:after="0"/>
              <w:jc w:val="center"/>
            </w:pPr>
            <w:r>
              <w:rPr>
                <w:sz w:val="18"/>
              </w:rPr>
              <w:t>●</w:t>
            </w:r>
          </w:p>
        </w:tc>
        <w:tc>
          <w:tcPr>
            <w:tcW w:type="dxa" w:w="2154"/>
          </w:tcPr>
          <w:p>
            <w:pPr>
              <w:spacing w:after="0"/>
              <w:jc w:val="center"/>
            </w:pPr>
            <w:r>
              <w:rPr>
                <w:sz w:val="18"/>
              </w:rPr>
              <w:t>●</w:t>
            </w:r>
          </w:p>
        </w:tc>
        <w:tc>
          <w:tcPr>
            <w:tcW w:type="dxa" w:w="2154"/>
          </w:tcPr>
          <w:p>
            <w:pPr>
              <w:spacing w:after="0"/>
              <w:jc w:val="center"/>
            </w:pPr>
            <w:r>
              <w:rPr>
                <w:sz w:val="18"/>
              </w:rPr>
              <w:t>●</w:t>
            </w:r>
          </w:p>
        </w:tc>
      </w:tr>
      <w:tr>
        <w:tc>
          <w:tcPr>
            <w:tcW w:type="dxa" w:w="3118"/>
          </w:tcPr>
          <w:p>
            <w:pPr>
              <w:spacing w:after="0"/>
            </w:pPr>
            <w:r>
              <w:rPr>
                <w:sz w:val="18"/>
              </w:rPr>
              <w:t>Ganadería</w:t>
            </w:r>
          </w:p>
        </w:tc>
        <w:tc>
          <w:tcPr>
            <w:tcW w:type="dxa" w:w="2154"/>
          </w:tcPr>
          <w:p>
            <w:pPr>
              <w:spacing w:after="0"/>
              <w:jc w:val="center"/>
            </w:pPr>
            <w:r>
              <w:rPr>
                <w:sz w:val="18"/>
              </w:rPr>
            </w:r>
          </w:p>
        </w:tc>
        <w:tc>
          <w:tcPr>
            <w:tcW w:type="dxa" w:w="2154"/>
          </w:tcPr>
          <w:p>
            <w:pPr>
              <w:spacing w:after="0"/>
              <w:jc w:val="center"/>
            </w:pPr>
            <w:r>
              <w:rPr>
                <w:sz w:val="18"/>
              </w:rPr>
            </w:r>
          </w:p>
        </w:tc>
        <w:tc>
          <w:tcPr>
            <w:tcW w:type="dxa" w:w="2154"/>
          </w:tcPr>
          <w:p>
            <w:pPr>
              <w:spacing w:after="0"/>
              <w:jc w:val="center"/>
            </w:pPr>
            <w:r>
              <w:rPr>
                <w:sz w:val="18"/>
              </w:rPr>
              <w:t>●</w:t>
            </w:r>
          </w:p>
        </w:tc>
        <w:tc>
          <w:tcPr>
            <w:tcW w:type="dxa" w:w="2154"/>
          </w:tcPr>
          <w:p>
            <w:pPr>
              <w:spacing w:after="0"/>
              <w:jc w:val="center"/>
            </w:pPr>
            <w:r>
              <w:rPr>
                <w:sz w:val="18"/>
              </w:rPr>
            </w:r>
          </w:p>
        </w:tc>
      </w:tr>
      <w:tr>
        <w:tc>
          <w:tcPr>
            <w:tcW w:type="dxa" w:w="3118"/>
          </w:tcPr>
          <w:p>
            <w:pPr>
              <w:spacing w:after="0"/>
            </w:pPr>
            <w:r>
              <w:rPr>
                <w:sz w:val="18"/>
              </w:rPr>
              <w:t>Maíz criollo</w:t>
            </w:r>
          </w:p>
        </w:tc>
        <w:tc>
          <w:tcPr>
            <w:tcW w:type="dxa" w:w="2154"/>
          </w:tcPr>
          <w:p>
            <w:pPr>
              <w:spacing w:after="0"/>
              <w:jc w:val="center"/>
            </w:pPr>
            <w:r>
              <w:rPr>
                <w:sz w:val="18"/>
              </w:rPr>
            </w:r>
          </w:p>
        </w:tc>
        <w:tc>
          <w:tcPr>
            <w:tcW w:type="dxa" w:w="2154"/>
          </w:tcPr>
          <w:p>
            <w:pPr>
              <w:spacing w:after="0"/>
              <w:jc w:val="center"/>
            </w:pPr>
            <w:r>
              <w:rPr>
                <w:sz w:val="18"/>
              </w:rPr>
            </w:r>
          </w:p>
        </w:tc>
        <w:tc>
          <w:tcPr>
            <w:tcW w:type="dxa" w:w="2154"/>
          </w:tcPr>
          <w:p>
            <w:pPr>
              <w:spacing w:after="0"/>
              <w:jc w:val="center"/>
            </w:pPr>
            <w:r>
              <w:rPr>
                <w:sz w:val="18"/>
              </w:rPr>
            </w:r>
          </w:p>
        </w:tc>
        <w:tc>
          <w:tcPr>
            <w:tcW w:type="dxa" w:w="2154"/>
          </w:tcPr>
          <w:p>
            <w:pPr>
              <w:spacing w:after="0"/>
              <w:jc w:val="center"/>
            </w:pPr>
            <w:r>
              <w:rPr>
                <w:sz w:val="18"/>
              </w:rPr>
              <w:t>●</w:t>
            </w:r>
          </w:p>
        </w:tc>
      </w:tr>
      <w:tr>
        <w:tc>
          <w:tcPr>
            <w:tcW w:type="dxa" w:w="3118"/>
          </w:tcPr>
          <w:p>
            <w:pPr>
              <w:spacing w:after="0"/>
            </w:pPr>
            <w:r>
              <w:rPr>
                <w:sz w:val="18"/>
              </w:rPr>
              <w:t>Venta directa</w:t>
            </w:r>
          </w:p>
        </w:tc>
        <w:tc>
          <w:tcPr>
            <w:tcW w:type="dxa" w:w="2154"/>
          </w:tcPr>
          <w:p>
            <w:pPr>
              <w:spacing w:after="0"/>
              <w:jc w:val="center"/>
            </w:pPr>
            <w:r>
              <w:rPr>
                <w:sz w:val="18"/>
              </w:rPr>
            </w:r>
          </w:p>
        </w:tc>
        <w:tc>
          <w:tcPr>
            <w:tcW w:type="dxa" w:w="2154"/>
          </w:tcPr>
          <w:p>
            <w:pPr>
              <w:spacing w:after="0"/>
              <w:jc w:val="center"/>
            </w:pPr>
            <w:r>
              <w:rPr>
                <w:sz w:val="18"/>
              </w:rPr>
            </w:r>
          </w:p>
        </w:tc>
        <w:tc>
          <w:tcPr>
            <w:tcW w:type="dxa" w:w="2154"/>
          </w:tcPr>
          <w:p>
            <w:pPr>
              <w:spacing w:after="0"/>
              <w:jc w:val="center"/>
            </w:pPr>
            <w:r>
              <w:rPr>
                <w:sz w:val="18"/>
              </w:rPr>
            </w:r>
          </w:p>
        </w:tc>
        <w:tc>
          <w:tcPr>
            <w:tcW w:type="dxa" w:w="2154"/>
          </w:tcPr>
          <w:p>
            <w:pPr>
              <w:spacing w:after="0"/>
              <w:jc w:val="center"/>
            </w:pPr>
            <w:r>
              <w:rPr>
                <w:sz w:val="18"/>
              </w:rPr>
              <w:t>●</w:t>
            </w:r>
          </w:p>
        </w:tc>
      </w:tr>
    </w:tbl>
    <w:p>
      <w:r>
        <w:br w:type="page"/>
      </w:r>
    </w:p>
    <w:p>
      <w:pPr>
        <w:spacing w:after="80"/>
      </w:pPr>
      <w:r>
        <w:rPr>
          <w:b/>
          <w:color w:val="1B2618"/>
          <w:sz w:val="28"/>
        </w:rPr>
        <w:t>La ruta en 3D y perfil altitudinal</w:t>
      </w:r>
    </w:p>
    <w:p>
      <w:pPr>
        <w:jc w:val="center"/>
      </w:pPr>
      <w:r>
        <w:drawing>
          <wp:inline xmlns:a="http://schemas.openxmlformats.org/drawingml/2006/main" xmlns:pic="http://schemas.openxmlformats.org/drawingml/2006/picture">
            <wp:extent cx="5580000" cy="3138750"/>
            <wp:docPr id="4" name="Picture 4"/>
            <wp:cNvGraphicFramePr>
              <a:graphicFrameLocks noChangeAspect="1"/>
            </wp:cNvGraphicFramePr>
            <a:graphic>
              <a:graphicData uri="http://schemas.openxmlformats.org/drawingml/2006/picture">
                <pic:pic>
                  <pic:nvPicPr>
                    <pic:cNvPr id="0" name="mapa_3d.png"/>
                    <pic:cNvPicPr/>
                  </pic:nvPicPr>
                  <pic:blipFill>
                    <a:blip r:embed="rId12"/>
                    <a:stretch>
                      <a:fillRect/>
                    </a:stretch>
                  </pic:blipFill>
                  <pic:spPr>
                    <a:xfrm>
                      <a:off x="0" y="0"/>
                      <a:ext cx="5580000" cy="3138750"/>
                    </a:xfrm>
                    <a:prstGeom prst="rect"/>
                  </pic:spPr>
                </pic:pic>
              </a:graphicData>
            </a:graphic>
          </wp:inline>
        </w:drawing>
      </w:r>
    </w:p>
    <w:p>
      <w:pPr>
        <w:spacing w:after="80"/>
        <w:jc w:val="center"/>
      </w:pPr>
      <w:r>
        <w:rPr>
          <w:b w:val="0"/>
          <w:sz w:val="17"/>
        </w:rPr>
        <w:t>Figura 2. Vista en 3D del relieve con la ruta (rojo) y el regreso (gris). Relieve exagerado 3.2 veces.</w:t>
      </w:r>
    </w:p>
    <w:p>
      <w:pPr>
        <w:jc w:val="center"/>
      </w:pPr>
      <w:r>
        <w:drawing>
          <wp:inline xmlns:a="http://schemas.openxmlformats.org/drawingml/2006/main" xmlns:pic="http://schemas.openxmlformats.org/drawingml/2006/picture">
            <wp:extent cx="7020000" cy="2193750"/>
            <wp:docPr id="5" name="Picture 5"/>
            <wp:cNvGraphicFramePr>
              <a:graphicFrameLocks noChangeAspect="1"/>
            </wp:cNvGraphicFramePr>
            <a:graphic>
              <a:graphicData uri="http://schemas.openxmlformats.org/drawingml/2006/picture">
                <pic:pic>
                  <pic:nvPicPr>
                    <pic:cNvPr id="0" name="perfil_altitud.png"/>
                    <pic:cNvPicPr/>
                  </pic:nvPicPr>
                  <pic:blipFill>
                    <a:blip r:embed="rId13"/>
                    <a:stretch>
                      <a:fillRect/>
                    </a:stretch>
                  </pic:blipFill>
                  <pic:spPr>
                    <a:xfrm>
                      <a:off x="0" y="0"/>
                      <a:ext cx="7020000" cy="2193750"/>
                    </a:xfrm>
                    <a:prstGeom prst="rect"/>
                  </pic:spPr>
                </pic:pic>
              </a:graphicData>
            </a:graphic>
          </wp:inline>
        </w:drawing>
      </w:r>
    </w:p>
    <w:p>
      <w:pPr>
        <w:spacing w:after="80"/>
        <w:jc w:val="center"/>
      </w:pPr>
      <w:r>
        <w:rPr>
          <w:b w:val="0"/>
          <w:sz w:val="17"/>
        </w:rPr>
        <w:t>Figura 3. Perfil altitudinal del recorrido con las franjas de vegetación. Los números indican los sitios.</w:t>
      </w:r>
    </w:p>
    <w:p>
      <w:r>
        <w:br w:type="page"/>
      </w:r>
    </w:p>
    <w:p>
      <w:pPr>
        <w:spacing w:after="40"/>
      </w:pPr>
      <w:r>
        <w:rPr>
          <w:b/>
          <w:color w:val="1B2618"/>
          <w:sz w:val="28"/>
        </w:rPr>
        <w:t>Perfil agroecológico del recorrido</w:t>
      </w:r>
    </w:p>
    <w:p>
      <w:pPr>
        <w:spacing w:after="80"/>
      </w:pPr>
      <w:r>
        <w:rPr>
          <w:b w:val="0"/>
          <w:sz w:val="19"/>
        </w:rPr>
        <w:t>Elementos de la agroecología (FAO) que destacan en cada sitio de observación.</w:t>
      </w:r>
    </w:p>
    <w:tbl>
      <w:tblPr>
        <w:tblStyle w:val="TableGrid"/>
        <w:tblW w:type="auto" w:w="0"/>
        <w:jc w:val="center"/>
        <w:tblLook w:firstColumn="1" w:firstRow="1" w:lastColumn="0" w:lastRow="0" w:noHBand="0" w:noVBand="1" w:val="04A0"/>
      </w:tblPr>
      <w:tblGrid>
        <w:gridCol w:w="2805"/>
        <w:gridCol w:w="2805"/>
        <w:gridCol w:w="2805"/>
        <w:gridCol w:w="2805"/>
        <w:gridCol w:w="2805"/>
      </w:tblGrid>
      <w:tr>
        <w:tc>
          <w:tcPr>
            <w:tcW w:type="dxa" w:w="3685"/>
            <w:shd w:val="clear" w:fill="E3ECD9"/>
          </w:tcPr>
          <w:p>
            <w:pPr>
              <w:spacing w:after="0"/>
            </w:pPr>
            <w:r>
              <w:rPr>
                <w:sz w:val="18"/>
              </w:rPr>
            </w:r>
            <w:r>
              <w:rPr>
                <w:b/>
                <w:sz w:val="18"/>
              </w:rPr>
              <w:t>Elemento</w:t>
            </w:r>
          </w:p>
        </w:tc>
        <w:tc>
          <w:tcPr>
            <w:tcW w:type="dxa" w:w="2268"/>
            <w:shd w:val="clear" w:fill="E3ECD9"/>
          </w:tcPr>
          <w:p>
            <w:pPr>
              <w:spacing w:after="0"/>
            </w:pPr>
            <w:r>
              <w:rPr>
                <w:sz w:val="18"/>
              </w:rPr>
            </w:r>
            <w:r>
              <w:rPr>
                <w:b/>
                <w:sz w:val="18"/>
              </w:rPr>
              <w:t>1. Mata de Zarza</w:t>
            </w:r>
          </w:p>
        </w:tc>
        <w:tc>
          <w:tcPr>
            <w:tcW w:type="dxa" w:w="2268"/>
            <w:shd w:val="clear" w:fill="E3ECD9"/>
          </w:tcPr>
          <w:p>
            <w:pPr>
              <w:spacing w:after="0"/>
            </w:pPr>
            <w:r>
              <w:rPr>
                <w:sz w:val="18"/>
              </w:rPr>
            </w:r>
            <w:r>
              <w:rPr>
                <w:b/>
                <w:sz w:val="18"/>
              </w:rPr>
              <w:t>2. Hato de la Higuera</w:t>
            </w:r>
          </w:p>
        </w:tc>
        <w:tc>
          <w:tcPr>
            <w:tcW w:type="dxa" w:w="2268"/>
            <w:shd w:val="clear" w:fill="E3ECD9"/>
          </w:tcPr>
          <w:p>
            <w:pPr>
              <w:spacing w:after="0"/>
            </w:pPr>
            <w:r>
              <w:rPr>
                <w:sz w:val="18"/>
              </w:rPr>
            </w:r>
            <w:r>
              <w:rPr>
                <w:b/>
                <w:sz w:val="18"/>
              </w:rPr>
              <w:t>3. El Coyol</w:t>
            </w:r>
          </w:p>
        </w:tc>
        <w:tc>
          <w:tcPr>
            <w:tcW w:type="dxa" w:w="2268"/>
            <w:shd w:val="clear" w:fill="E3ECD9"/>
          </w:tcPr>
          <w:p>
            <w:pPr>
              <w:spacing w:after="0"/>
            </w:pPr>
            <w:r>
              <w:rPr>
                <w:sz w:val="18"/>
              </w:rPr>
            </w:r>
            <w:r>
              <w:rPr>
                <w:b/>
                <w:sz w:val="18"/>
              </w:rPr>
              <w:t>4. Paso Pimienta</w:t>
            </w:r>
          </w:p>
        </w:tc>
      </w:tr>
      <w:tr>
        <w:tc>
          <w:tcPr>
            <w:tcW w:type="dxa" w:w="3685"/>
          </w:tcPr>
          <w:p>
            <w:pPr>
              <w:spacing w:after="0"/>
            </w:pPr>
            <w:r>
              <w:rPr>
                <w:sz w:val="18"/>
              </w:rPr>
              <w:t>Diversidad</w:t>
            </w:r>
          </w:p>
        </w:tc>
        <w:tc>
          <w:tcPr>
            <w:tcW w:type="dxa" w:w="2268"/>
          </w:tcPr>
          <w:p>
            <w:pPr>
              <w:spacing w:after="0"/>
              <w:jc w:val="center"/>
            </w:pPr>
            <w:r>
              <w:rPr>
                <w:sz w:val="18"/>
              </w:rPr>
              <w:t>●</w:t>
            </w:r>
          </w:p>
        </w:tc>
        <w:tc>
          <w:tcPr>
            <w:tcW w:type="dxa" w:w="2268"/>
          </w:tcPr>
          <w:p>
            <w:pPr>
              <w:spacing w:after="0"/>
              <w:jc w:val="center"/>
            </w:pPr>
            <w:r>
              <w:rPr>
                <w:sz w:val="18"/>
              </w:rPr>
            </w:r>
          </w:p>
        </w:tc>
        <w:tc>
          <w:tcPr>
            <w:tcW w:type="dxa" w:w="2268"/>
          </w:tcPr>
          <w:p>
            <w:pPr>
              <w:spacing w:after="0"/>
              <w:jc w:val="center"/>
            </w:pPr>
            <w:r>
              <w:rPr>
                <w:sz w:val="18"/>
              </w:rPr>
            </w:r>
          </w:p>
        </w:tc>
        <w:tc>
          <w:tcPr>
            <w:tcW w:type="dxa" w:w="2268"/>
          </w:tcPr>
          <w:p>
            <w:pPr>
              <w:spacing w:after="0"/>
              <w:jc w:val="center"/>
            </w:pPr>
            <w:r>
              <w:rPr>
                <w:sz w:val="18"/>
              </w:rPr>
              <w:t>●</w:t>
            </w:r>
          </w:p>
        </w:tc>
      </w:tr>
      <w:tr>
        <w:tc>
          <w:tcPr>
            <w:tcW w:type="dxa" w:w="3685"/>
          </w:tcPr>
          <w:p>
            <w:pPr>
              <w:spacing w:after="0"/>
            </w:pPr>
            <w:r>
              <w:rPr>
                <w:sz w:val="18"/>
              </w:rPr>
              <w:t>Sinergias</w:t>
            </w:r>
          </w:p>
        </w:tc>
        <w:tc>
          <w:tcPr>
            <w:tcW w:type="dxa" w:w="2268"/>
          </w:tcPr>
          <w:p>
            <w:pPr>
              <w:spacing w:after="0"/>
              <w:jc w:val="center"/>
            </w:pPr>
            <w:r>
              <w:rPr>
                <w:sz w:val="18"/>
              </w:rPr>
            </w:r>
          </w:p>
        </w:tc>
        <w:tc>
          <w:tcPr>
            <w:tcW w:type="dxa" w:w="2268"/>
          </w:tcPr>
          <w:p>
            <w:pPr>
              <w:spacing w:after="0"/>
              <w:jc w:val="center"/>
            </w:pPr>
            <w:r>
              <w:rPr>
                <w:sz w:val="18"/>
              </w:rPr>
            </w:r>
          </w:p>
        </w:tc>
        <w:tc>
          <w:tcPr>
            <w:tcW w:type="dxa" w:w="2268"/>
          </w:tcPr>
          <w:p>
            <w:pPr>
              <w:spacing w:after="0"/>
              <w:jc w:val="center"/>
            </w:pPr>
            <w:r>
              <w:rPr>
                <w:sz w:val="18"/>
              </w:rPr>
              <w:t>●</w:t>
            </w:r>
          </w:p>
        </w:tc>
        <w:tc>
          <w:tcPr>
            <w:tcW w:type="dxa" w:w="2268"/>
          </w:tcPr>
          <w:p>
            <w:pPr>
              <w:spacing w:after="0"/>
              <w:jc w:val="center"/>
            </w:pPr>
            <w:r>
              <w:rPr>
                <w:sz w:val="18"/>
              </w:rPr>
            </w:r>
          </w:p>
        </w:tc>
      </w:tr>
      <w:tr>
        <w:tc>
          <w:tcPr>
            <w:tcW w:type="dxa" w:w="3685"/>
          </w:tcPr>
          <w:p>
            <w:pPr>
              <w:spacing w:after="0"/>
            </w:pPr>
            <w:r>
              <w:rPr>
                <w:sz w:val="18"/>
              </w:rPr>
              <w:t>Eficiencia</w:t>
            </w:r>
          </w:p>
        </w:tc>
        <w:tc>
          <w:tcPr>
            <w:tcW w:type="dxa" w:w="2268"/>
          </w:tcPr>
          <w:p>
            <w:pPr>
              <w:spacing w:after="0"/>
              <w:jc w:val="center"/>
            </w:pPr>
            <w:r>
              <w:rPr>
                <w:sz w:val="18"/>
              </w:rPr>
            </w:r>
          </w:p>
        </w:tc>
        <w:tc>
          <w:tcPr>
            <w:tcW w:type="dxa" w:w="2268"/>
          </w:tcPr>
          <w:p>
            <w:pPr>
              <w:spacing w:after="0"/>
              <w:jc w:val="center"/>
            </w:pPr>
            <w:r>
              <w:rPr>
                <w:sz w:val="18"/>
              </w:rPr>
              <w:t>●</w:t>
            </w:r>
          </w:p>
        </w:tc>
        <w:tc>
          <w:tcPr>
            <w:tcW w:type="dxa" w:w="2268"/>
          </w:tcPr>
          <w:p>
            <w:pPr>
              <w:spacing w:after="0"/>
              <w:jc w:val="center"/>
            </w:pPr>
            <w:r>
              <w:rPr>
                <w:sz w:val="18"/>
              </w:rPr>
            </w:r>
          </w:p>
        </w:tc>
        <w:tc>
          <w:tcPr>
            <w:tcW w:type="dxa" w:w="2268"/>
          </w:tcPr>
          <w:p>
            <w:pPr>
              <w:spacing w:after="0"/>
              <w:jc w:val="center"/>
            </w:pPr>
            <w:r>
              <w:rPr>
                <w:sz w:val="18"/>
              </w:rPr>
            </w:r>
          </w:p>
        </w:tc>
      </w:tr>
      <w:tr>
        <w:tc>
          <w:tcPr>
            <w:tcW w:type="dxa" w:w="3685"/>
          </w:tcPr>
          <w:p>
            <w:pPr>
              <w:spacing w:after="0"/>
            </w:pPr>
            <w:r>
              <w:rPr>
                <w:sz w:val="18"/>
              </w:rPr>
              <w:t>Resiliencia</w:t>
            </w:r>
          </w:p>
        </w:tc>
        <w:tc>
          <w:tcPr>
            <w:tcW w:type="dxa" w:w="2268"/>
          </w:tcPr>
          <w:p>
            <w:pPr>
              <w:spacing w:after="0"/>
              <w:jc w:val="center"/>
            </w:pPr>
            <w:r>
              <w:rPr>
                <w:sz w:val="18"/>
              </w:rPr>
              <w:t>●</w:t>
            </w:r>
          </w:p>
        </w:tc>
        <w:tc>
          <w:tcPr>
            <w:tcW w:type="dxa" w:w="2268"/>
          </w:tcPr>
          <w:p>
            <w:pPr>
              <w:spacing w:after="0"/>
              <w:jc w:val="center"/>
            </w:pPr>
            <w:r>
              <w:rPr>
                <w:sz w:val="18"/>
              </w:rPr>
            </w:r>
          </w:p>
        </w:tc>
        <w:tc>
          <w:tcPr>
            <w:tcW w:type="dxa" w:w="2268"/>
          </w:tcPr>
          <w:p>
            <w:pPr>
              <w:spacing w:after="0"/>
              <w:jc w:val="center"/>
            </w:pPr>
            <w:r>
              <w:rPr>
                <w:sz w:val="18"/>
              </w:rPr>
            </w:r>
          </w:p>
        </w:tc>
        <w:tc>
          <w:tcPr>
            <w:tcW w:type="dxa" w:w="2268"/>
          </w:tcPr>
          <w:p>
            <w:pPr>
              <w:spacing w:after="0"/>
              <w:jc w:val="center"/>
            </w:pPr>
            <w:r>
              <w:rPr>
                <w:sz w:val="18"/>
              </w:rPr>
              <w:t>●</w:t>
            </w:r>
          </w:p>
        </w:tc>
      </w:tr>
      <w:tr>
        <w:tc>
          <w:tcPr>
            <w:tcW w:type="dxa" w:w="3685"/>
          </w:tcPr>
          <w:p>
            <w:pPr>
              <w:spacing w:after="0"/>
            </w:pPr>
            <w:r>
              <w:rPr>
                <w:sz w:val="18"/>
              </w:rPr>
              <w:t>Reciclaje</w:t>
            </w:r>
          </w:p>
        </w:tc>
        <w:tc>
          <w:tcPr>
            <w:tcW w:type="dxa" w:w="2268"/>
          </w:tcPr>
          <w:p>
            <w:pPr>
              <w:spacing w:after="0"/>
              <w:jc w:val="center"/>
            </w:pPr>
            <w:r>
              <w:rPr>
                <w:sz w:val="18"/>
              </w:rPr>
            </w:r>
          </w:p>
        </w:tc>
        <w:tc>
          <w:tcPr>
            <w:tcW w:type="dxa" w:w="2268"/>
          </w:tcPr>
          <w:p>
            <w:pPr>
              <w:spacing w:after="0"/>
              <w:jc w:val="center"/>
            </w:pPr>
            <w:r>
              <w:rPr>
                <w:sz w:val="18"/>
              </w:rPr>
              <w:t>●</w:t>
            </w:r>
          </w:p>
        </w:tc>
        <w:tc>
          <w:tcPr>
            <w:tcW w:type="dxa" w:w="2268"/>
          </w:tcPr>
          <w:p>
            <w:pPr>
              <w:spacing w:after="0"/>
              <w:jc w:val="center"/>
            </w:pPr>
            <w:r>
              <w:rPr>
                <w:sz w:val="18"/>
              </w:rPr>
              <w:t>●</w:t>
            </w:r>
          </w:p>
        </w:tc>
        <w:tc>
          <w:tcPr>
            <w:tcW w:type="dxa" w:w="2268"/>
          </w:tcPr>
          <w:p>
            <w:pPr>
              <w:spacing w:after="0"/>
              <w:jc w:val="center"/>
            </w:pPr>
            <w:r>
              <w:rPr>
                <w:sz w:val="18"/>
              </w:rPr>
            </w:r>
          </w:p>
        </w:tc>
      </w:tr>
      <w:tr>
        <w:tc>
          <w:tcPr>
            <w:tcW w:type="dxa" w:w="3685"/>
          </w:tcPr>
          <w:p>
            <w:pPr>
              <w:spacing w:after="0"/>
            </w:pPr>
            <w:r>
              <w:rPr>
                <w:sz w:val="18"/>
              </w:rPr>
              <w:t>Creación conjunta de conocimientos</w:t>
            </w:r>
          </w:p>
        </w:tc>
        <w:tc>
          <w:tcPr>
            <w:tcW w:type="dxa" w:w="2268"/>
          </w:tcPr>
          <w:p>
            <w:pPr>
              <w:spacing w:after="0"/>
              <w:jc w:val="center"/>
            </w:pPr>
            <w:r>
              <w:rPr>
                <w:sz w:val="18"/>
              </w:rPr>
              <w:t>●</w:t>
            </w:r>
          </w:p>
        </w:tc>
        <w:tc>
          <w:tcPr>
            <w:tcW w:type="dxa" w:w="2268"/>
          </w:tcPr>
          <w:p>
            <w:pPr>
              <w:spacing w:after="0"/>
              <w:jc w:val="center"/>
            </w:pPr>
            <w:r>
              <w:rPr>
                <w:sz w:val="18"/>
              </w:rPr>
            </w:r>
          </w:p>
        </w:tc>
        <w:tc>
          <w:tcPr>
            <w:tcW w:type="dxa" w:w="2268"/>
          </w:tcPr>
          <w:p>
            <w:pPr>
              <w:spacing w:after="0"/>
              <w:jc w:val="center"/>
            </w:pPr>
            <w:r>
              <w:rPr>
                <w:sz w:val="18"/>
              </w:rPr>
            </w:r>
          </w:p>
        </w:tc>
        <w:tc>
          <w:tcPr>
            <w:tcW w:type="dxa" w:w="2268"/>
          </w:tcPr>
          <w:p>
            <w:pPr>
              <w:spacing w:after="0"/>
              <w:jc w:val="center"/>
            </w:pPr>
            <w:r>
              <w:rPr>
                <w:sz w:val="18"/>
              </w:rPr>
            </w:r>
          </w:p>
        </w:tc>
      </w:tr>
      <w:tr>
        <w:tc>
          <w:tcPr>
            <w:tcW w:type="dxa" w:w="3685"/>
          </w:tcPr>
          <w:p>
            <w:pPr>
              <w:spacing w:after="0"/>
            </w:pPr>
            <w:r>
              <w:rPr>
                <w:sz w:val="18"/>
              </w:rPr>
              <w:t>Valores humanos y sociales</w:t>
            </w:r>
          </w:p>
        </w:tc>
        <w:tc>
          <w:tcPr>
            <w:tcW w:type="dxa" w:w="2268"/>
          </w:tcPr>
          <w:p>
            <w:pPr>
              <w:spacing w:after="0"/>
              <w:jc w:val="center"/>
            </w:pPr>
            <w:r>
              <w:rPr>
                <w:sz w:val="18"/>
              </w:rPr>
            </w:r>
          </w:p>
        </w:tc>
        <w:tc>
          <w:tcPr>
            <w:tcW w:type="dxa" w:w="2268"/>
          </w:tcPr>
          <w:p>
            <w:pPr>
              <w:spacing w:after="0"/>
              <w:jc w:val="center"/>
            </w:pPr>
            <w:r>
              <w:rPr>
                <w:sz w:val="18"/>
              </w:rPr>
              <w:t>●</w:t>
            </w:r>
          </w:p>
        </w:tc>
        <w:tc>
          <w:tcPr>
            <w:tcW w:type="dxa" w:w="2268"/>
          </w:tcPr>
          <w:p>
            <w:pPr>
              <w:spacing w:after="0"/>
              <w:jc w:val="center"/>
            </w:pPr>
            <w:r>
              <w:rPr>
                <w:sz w:val="18"/>
              </w:rPr>
            </w:r>
          </w:p>
        </w:tc>
        <w:tc>
          <w:tcPr>
            <w:tcW w:type="dxa" w:w="2268"/>
          </w:tcPr>
          <w:p>
            <w:pPr>
              <w:spacing w:after="0"/>
              <w:jc w:val="center"/>
            </w:pPr>
            <w:r>
              <w:rPr>
                <w:sz w:val="18"/>
              </w:rPr>
            </w:r>
          </w:p>
        </w:tc>
      </w:tr>
      <w:tr>
        <w:tc>
          <w:tcPr>
            <w:tcW w:type="dxa" w:w="3685"/>
          </w:tcPr>
          <w:p>
            <w:pPr>
              <w:spacing w:after="0"/>
            </w:pPr>
            <w:r>
              <w:rPr>
                <w:sz w:val="18"/>
              </w:rPr>
              <w:t>Cultura y tradiciones alimentarias</w:t>
            </w:r>
          </w:p>
        </w:tc>
        <w:tc>
          <w:tcPr>
            <w:tcW w:type="dxa" w:w="2268"/>
          </w:tcPr>
          <w:p>
            <w:pPr>
              <w:spacing w:after="0"/>
              <w:jc w:val="center"/>
            </w:pPr>
            <w:r>
              <w:rPr>
                <w:sz w:val="18"/>
              </w:rPr>
            </w:r>
          </w:p>
        </w:tc>
        <w:tc>
          <w:tcPr>
            <w:tcW w:type="dxa" w:w="2268"/>
          </w:tcPr>
          <w:p>
            <w:pPr>
              <w:spacing w:after="0"/>
              <w:jc w:val="center"/>
            </w:pPr>
            <w:r>
              <w:rPr>
                <w:sz w:val="18"/>
              </w:rPr>
            </w:r>
          </w:p>
        </w:tc>
        <w:tc>
          <w:tcPr>
            <w:tcW w:type="dxa" w:w="2268"/>
          </w:tcPr>
          <w:p>
            <w:pPr>
              <w:spacing w:after="0"/>
              <w:jc w:val="center"/>
            </w:pPr>
            <w:r>
              <w:rPr>
                <w:sz w:val="18"/>
              </w:rPr>
              <w:t>●</w:t>
            </w:r>
          </w:p>
        </w:tc>
        <w:tc>
          <w:tcPr>
            <w:tcW w:type="dxa" w:w="2268"/>
          </w:tcPr>
          <w:p>
            <w:pPr>
              <w:spacing w:after="0"/>
              <w:jc w:val="center"/>
            </w:pPr>
            <w:r>
              <w:rPr>
                <w:sz w:val="18"/>
              </w:rPr>
              <w:t>●</w:t>
            </w:r>
          </w:p>
        </w:tc>
      </w:tr>
      <w:tr>
        <w:tc>
          <w:tcPr>
            <w:tcW w:type="dxa" w:w="3685"/>
          </w:tcPr>
          <w:p>
            <w:pPr>
              <w:spacing w:after="0"/>
            </w:pPr>
            <w:r>
              <w:rPr>
                <w:sz w:val="18"/>
              </w:rPr>
              <w:t>Gobernanza responsable</w:t>
            </w:r>
          </w:p>
        </w:tc>
        <w:tc>
          <w:tcPr>
            <w:tcW w:type="dxa" w:w="2268"/>
          </w:tcPr>
          <w:p>
            <w:pPr>
              <w:spacing w:after="0"/>
              <w:jc w:val="center"/>
            </w:pPr>
            <w:r>
              <w:rPr>
                <w:sz w:val="18"/>
              </w:rPr>
            </w:r>
          </w:p>
        </w:tc>
        <w:tc>
          <w:tcPr>
            <w:tcW w:type="dxa" w:w="2268"/>
          </w:tcPr>
          <w:p>
            <w:pPr>
              <w:spacing w:after="0"/>
              <w:jc w:val="center"/>
            </w:pPr>
            <w:r>
              <w:rPr>
                <w:sz w:val="18"/>
              </w:rPr>
            </w:r>
          </w:p>
        </w:tc>
        <w:tc>
          <w:tcPr>
            <w:tcW w:type="dxa" w:w="2268"/>
          </w:tcPr>
          <w:p>
            <w:pPr>
              <w:spacing w:after="0"/>
              <w:jc w:val="center"/>
            </w:pPr>
            <w:r>
              <w:rPr>
                <w:sz w:val="18"/>
              </w:rPr>
            </w:r>
          </w:p>
        </w:tc>
        <w:tc>
          <w:tcPr>
            <w:tcW w:type="dxa" w:w="2268"/>
          </w:tcPr>
          <w:p>
            <w:pPr>
              <w:spacing w:after="0"/>
              <w:jc w:val="center"/>
            </w:pPr>
            <w:r>
              <w:rPr>
                <w:sz w:val="18"/>
              </w:rPr>
            </w:r>
          </w:p>
        </w:tc>
      </w:tr>
      <w:tr>
        <w:tc>
          <w:tcPr>
            <w:tcW w:type="dxa" w:w="3685"/>
          </w:tcPr>
          <w:p>
            <w:pPr>
              <w:spacing w:after="0"/>
            </w:pPr>
            <w:r>
              <w:rPr>
                <w:sz w:val="18"/>
              </w:rPr>
              <w:t>Economía circular y solidaria</w:t>
            </w:r>
          </w:p>
        </w:tc>
        <w:tc>
          <w:tcPr>
            <w:tcW w:type="dxa" w:w="2268"/>
          </w:tcPr>
          <w:p>
            <w:pPr>
              <w:spacing w:after="0"/>
              <w:jc w:val="center"/>
            </w:pPr>
            <w:r>
              <w:rPr>
                <w:sz w:val="18"/>
              </w:rPr>
              <w:t>●</w:t>
            </w:r>
          </w:p>
        </w:tc>
        <w:tc>
          <w:tcPr>
            <w:tcW w:type="dxa" w:w="2268"/>
          </w:tcPr>
          <w:p>
            <w:pPr>
              <w:spacing w:after="0"/>
              <w:jc w:val="center"/>
            </w:pPr>
            <w:r>
              <w:rPr>
                <w:sz w:val="18"/>
              </w:rPr>
              <w:t>●</w:t>
            </w:r>
          </w:p>
        </w:tc>
        <w:tc>
          <w:tcPr>
            <w:tcW w:type="dxa" w:w="2268"/>
          </w:tcPr>
          <w:p>
            <w:pPr>
              <w:spacing w:after="0"/>
              <w:jc w:val="center"/>
            </w:pPr>
            <w:r>
              <w:rPr>
                <w:sz w:val="18"/>
              </w:rPr>
              <w:t>●</w:t>
            </w:r>
          </w:p>
        </w:tc>
        <w:tc>
          <w:tcPr>
            <w:tcW w:type="dxa" w:w="2268"/>
          </w:tcPr>
          <w:p>
            <w:pPr>
              <w:spacing w:after="0"/>
              <w:jc w:val="center"/>
            </w:pPr>
            <w:r>
              <w:rPr>
                <w:sz w:val="18"/>
              </w:rPr>
              <w:t>●</w:t>
            </w:r>
          </w:p>
        </w:tc>
      </w:tr>
    </w:tbl>
    <w:p>
      <w:r>
        <w:br w:type="page"/>
      </w:r>
    </w:p>
    <w:p>
      <w:pPr>
        <w:spacing w:after="0"/>
      </w:pPr>
      <w:r>
        <w:rPr>
          <w:b/>
          <w:color w:val="1B2618"/>
          <w:sz w:val="28"/>
        </w:rPr>
        <w:t>Sitio 1. Mata de Zarza</w:t>
      </w:r>
    </w:p>
    <w:p>
      <w:pPr>
        <w:spacing w:after="120"/>
      </w:pPr>
      <w:r>
        <w:rPr>
          <w:b w:val="0"/>
          <w:sz w:val="19"/>
        </w:rPr>
        <w:t>Puente Nacional, Veracruz · 472 msnm · 08:25 a 10:15 h · Cultivo de la vid y otras experiencias con productores de Mata de Zarza.</w:t>
      </w:r>
    </w:p>
    <w:tbl>
      <w:tblPr>
        <w:tblStyle w:val="TableGrid"/>
        <w:tblW w:type="auto" w:w="0"/>
        <w:jc w:val="center"/>
        <w:tblLook w:firstColumn="1" w:firstRow="1" w:lastColumn="0" w:lastRow="0" w:noHBand="0" w:noVBand="1" w:val="04A0"/>
      </w:tblPr>
      <w:tblGrid>
        <w:gridCol w:w="7013"/>
        <w:gridCol w:w="7013"/>
      </w:tblGrid>
      <w:tr>
        <w:tc>
          <w:tcPr>
            <w:tcW w:type="dxa" w:w="2835"/>
            <w:shd w:val="clear" w:fill="E3ECD9"/>
            <w:vAlign w:val="top"/>
          </w:tcPr>
          <w:p>
            <w:pPr>
              <w:spacing w:after="20"/>
            </w:pPr>
            <w:r/>
            <w:r>
              <w:rPr>
                <w:b/>
                <w:sz w:val="18"/>
              </w:rPr>
              <w:t>Sistema productivo</w:t>
            </w:r>
          </w:p>
        </w:tc>
        <w:tc>
          <w:tcPr>
            <w:tcW w:type="dxa" w:w="11055"/>
            <w:vAlign w:val="top"/>
          </w:tcPr>
          <w:p>
            <w:pPr>
              <w:spacing w:after="20"/>
            </w:pPr>
            <w:r/>
            <w:r>
              <w:rPr>
                <w:b w:val="0"/>
                <w:sz w:val="18"/>
              </w:rPr>
              <w:t>Vid cultivada en clima cálido subhúmedo, junto con frutales y otras experiencias de los productores.</w:t>
            </w:r>
          </w:p>
        </w:tc>
      </w:tr>
      <w:tr>
        <w:tc>
          <w:tcPr>
            <w:tcW w:type="dxa" w:w="2835"/>
            <w:shd w:val="clear" w:fill="E3ECD9"/>
            <w:vAlign w:val="top"/>
          </w:tcPr>
          <w:p>
            <w:pPr>
              <w:spacing w:after="20"/>
            </w:pPr>
            <w:r/>
            <w:r>
              <w:rPr>
                <w:b/>
                <w:sz w:val="18"/>
              </w:rPr>
              <w:t>Elementos agroecológicos</w:t>
            </w:r>
          </w:p>
        </w:tc>
        <w:tc>
          <w:tcPr>
            <w:tcW w:type="dxa" w:w="11055"/>
            <w:vAlign w:val="top"/>
          </w:tcPr>
          <w:p>
            <w:pPr>
              <w:spacing w:after="20"/>
            </w:pPr>
            <w:r/>
            <w:r>
              <w:rPr>
                <w:b w:val="0"/>
                <w:sz w:val="18"/>
              </w:rPr>
              <w:t>Diversidad, Creación conjunta de conocimientos, Resiliencia, Economía circular y solidaria</w:t>
            </w:r>
          </w:p>
        </w:tc>
      </w:tr>
      <w:tr>
        <w:tc>
          <w:tcPr>
            <w:tcW w:type="dxa" w:w="2835"/>
            <w:shd w:val="clear" w:fill="F6ECD2"/>
            <w:vAlign w:val="top"/>
          </w:tcPr>
          <w:p>
            <w:pPr>
              <w:spacing w:after="20"/>
            </w:pPr>
            <w:r/>
            <w:r>
              <w:rPr>
                <w:b/>
                <w:sz w:val="18"/>
              </w:rPr>
              <w:t>Punto de análisis</w:t>
            </w:r>
          </w:p>
        </w:tc>
        <w:tc>
          <w:tcPr>
            <w:tcW w:type="dxa" w:w="11055"/>
            <w:vAlign w:val="top"/>
          </w:tcPr>
          <w:p>
            <w:pPr>
              <w:spacing w:after="20"/>
            </w:pPr>
            <w:r/>
            <w:r>
              <w:rPr>
                <w:b/>
                <w:sz w:val="19"/>
              </w:rPr>
              <w:t>¿Cómo se adapta un cultivo de clima templado como la vid al trópico cálido, y qué costos ambientales y económicos tiene su manejo?</w:t>
            </w:r>
          </w:p>
        </w:tc>
      </w:tr>
      <w:tr>
        <w:tc>
          <w:tcPr>
            <w:tcW w:type="dxa" w:w="2835"/>
            <w:shd w:val="clear" w:fill="E3ECD9"/>
            <w:vAlign w:val="top"/>
          </w:tcPr>
          <w:p>
            <w:pPr>
              <w:spacing w:after="20"/>
            </w:pPr>
            <w:r/>
            <w:r>
              <w:rPr>
                <w:b/>
                <w:sz w:val="18"/>
              </w:rPr>
              <w:t>Qué observar</w:t>
            </w:r>
          </w:p>
        </w:tc>
        <w:tc>
          <w:tcPr>
            <w:tcW w:type="dxa" w:w="11055"/>
            <w:vAlign w:val="top"/>
          </w:tcPr>
          <w:p>
            <w:pPr>
              <w:spacing w:after="20"/>
            </w:pPr>
            <w:r/>
            <w:r>
              <w:rPr>
                <w:sz w:val="18"/>
              </w:rPr>
              <w:t>☐ Variedades y portainjertos que usan, y de dónde los obtuvieron.</w:t>
            </w:r>
          </w:p>
          <w:p>
            <w:pPr>
              <w:spacing w:after="20"/>
            </w:pPr>
            <w:r>
              <w:rPr>
                <w:sz w:val="18"/>
              </w:rPr>
              <w:t>☐ Manejo de enfermedades por hongos (mildiu y oídio) en lluvias, y qué productos aplican.</w:t>
            </w:r>
          </w:p>
          <w:p>
            <w:pPr>
              <w:spacing w:after="20"/>
            </w:pPr>
            <w:r>
              <w:rPr>
                <w:sz w:val="18"/>
              </w:rPr>
              <w:t>☐ Uso del agua y riego en la temporada seca.</w:t>
            </w:r>
          </w:p>
          <w:p>
            <w:pPr>
              <w:spacing w:after="20"/>
            </w:pPr>
            <w:r>
              <w:rPr>
                <w:sz w:val="18"/>
              </w:rPr>
              <w:t>☐ Manejo del suelo entre hileras: desnudo, con hierbas o con cobertura.</w:t>
            </w:r>
          </w:p>
          <w:p>
            <w:pPr>
              <w:spacing w:after="20"/>
            </w:pPr>
            <w:r>
              <w:rPr>
                <w:sz w:val="18"/>
              </w:rPr>
              <w:t>☐ Destino de la uva: fruta fresca, jugo, vino o pasa, y a qué precio.</w:t>
            </w:r>
          </w:p>
          <w:p>
            <w:pPr>
              <w:spacing w:after="20"/>
            </w:pPr>
            <w:r>
              <w:rPr>
                <w:sz w:val="18"/>
              </w:rPr>
              <w:t>☐ Trabajo familiar y organización entre productores.</w:t>
            </w:r>
          </w:p>
        </w:tc>
      </w:tr>
      <w:tr>
        <w:tc>
          <w:tcPr>
            <w:tcW w:type="dxa" w:w="2835"/>
            <w:shd w:val="clear" w:fill="E3ECD9"/>
            <w:vAlign w:val="top"/>
          </w:tcPr>
          <w:p>
            <w:pPr>
              <w:spacing w:after="20"/>
            </w:pPr>
            <w:r/>
            <w:r>
              <w:rPr>
                <w:b/>
                <w:sz w:val="18"/>
              </w:rPr>
              <w:t>Alternativas desde la sostenibilidad</w:t>
            </w:r>
          </w:p>
        </w:tc>
        <w:tc>
          <w:tcPr>
            <w:tcW w:type="dxa" w:w="11055"/>
            <w:vAlign w:val="top"/>
          </w:tcPr>
          <w:p>
            <w:pPr>
              <w:spacing w:after="20"/>
            </w:pPr>
            <w:r/>
            <w:r>
              <w:rPr>
                <w:sz w:val="18"/>
              </w:rPr>
              <w:t>• Coberturas vivas de leguminosas entre hileras para proteger y nutrir el suelo.</w:t>
            </w:r>
          </w:p>
          <w:p>
            <w:pPr>
              <w:spacing w:after="20"/>
            </w:pPr>
            <w:r>
              <w:rPr>
                <w:sz w:val="18"/>
              </w:rPr>
              <w:t>• Caldos minerales (bordelés, sulfocálcico) y biopreparados en lugar de fungicidas de síntesis.</w:t>
            </w:r>
          </w:p>
          <w:p>
            <w:pPr>
              <w:spacing w:after="20"/>
            </w:pPr>
            <w:r>
              <w:rPr>
                <w:sz w:val="18"/>
              </w:rPr>
              <w:t>• Cercos vivos y franjas de flores que atraigan enemigos naturales de las plagas.</w:t>
            </w:r>
          </w:p>
          <w:p>
            <w:pPr>
              <w:spacing w:after="20"/>
            </w:pPr>
            <w:r>
              <w:rPr>
                <w:sz w:val="18"/>
              </w:rPr>
              <w:t>• Captación de agua de lluvia y riego por goteo.</w:t>
            </w:r>
          </w:p>
          <w:p>
            <w:pPr>
              <w:spacing w:after="20"/>
            </w:pPr>
            <w:r>
              <w:rPr>
                <w:sz w:val="18"/>
              </w:rPr>
              <w:t>• Transformación local (jugo, vino artesanal, vinagre, pasas) y turismo rural.</w:t>
            </w:r>
          </w:p>
        </w:tc>
      </w:tr>
      <w:tr>
        <w:tc>
          <w:tcPr>
            <w:tcW w:type="dxa" w:w="2835"/>
            <w:shd w:val="clear" w:fill="E3ECD9"/>
            <w:vAlign w:val="top"/>
          </w:tcPr>
          <w:p>
            <w:pPr>
              <w:spacing w:after="20"/>
            </w:pPr>
            <w:r/>
            <w:r>
              <w:rPr>
                <w:b/>
                <w:sz w:val="18"/>
              </w:rPr>
              <w:t>Cultivos</w:t>
            </w:r>
          </w:p>
        </w:tc>
        <w:tc>
          <w:tcPr>
            <w:tcW w:type="dxa" w:w="11055"/>
            <w:vAlign w:val="top"/>
          </w:tcPr>
          <w:p>
            <w:pPr>
              <w:spacing w:after="20"/>
            </w:pPr>
            <w:r/>
            <w:r>
              <w:rPr>
                <w:b w:val="0"/>
                <w:sz w:val="18"/>
              </w:rPr>
              <w:t>Vid, Mango, Guanábana, Maíz, Frijol, Caña de azúcar</w:t>
            </w:r>
          </w:p>
        </w:tc>
      </w:tr>
      <w:tr>
        <w:tc>
          <w:tcPr>
            <w:tcW w:type="dxa" w:w="2835"/>
            <w:shd w:val="clear" w:fill="E3ECD9"/>
            <w:vAlign w:val="top"/>
          </w:tcPr>
          <w:p>
            <w:pPr>
              <w:spacing w:after="20"/>
            </w:pPr>
            <w:r/>
            <w:r>
              <w:rPr>
                <w:b/>
                <w:sz w:val="18"/>
              </w:rPr>
              <w:t>Fauna</w:t>
            </w:r>
          </w:p>
        </w:tc>
        <w:tc>
          <w:tcPr>
            <w:tcW w:type="dxa" w:w="11055"/>
            <w:vAlign w:val="top"/>
          </w:tcPr>
          <w:p>
            <w:pPr>
              <w:spacing w:after="20"/>
            </w:pPr>
            <w:r/>
            <w:r>
              <w:rPr>
                <w:b w:val="0"/>
                <w:sz w:val="18"/>
              </w:rPr>
              <w:t>Chachalaca (Ortalis vetula), Urraca copetona (Calocitta formosa), Zanate (Quiscalus mexicanus), Iguana verde (Iguana iguana), Garrobo (Ctenosaura sp.), Tlacuache (Didelphis sp.), Armadillo (Dasypus novemcinctus), Aves frugívoras que consumen la uva madura</w:t>
            </w:r>
          </w:p>
        </w:tc>
      </w:tr>
      <w:tr>
        <w:tc>
          <w:tcPr>
            <w:tcW w:type="dxa" w:w="2835"/>
            <w:shd w:val="clear" w:fill="E3ECD9"/>
            <w:vAlign w:val="top"/>
          </w:tcPr>
          <w:p>
            <w:pPr>
              <w:spacing w:after="20"/>
            </w:pPr>
            <w:r/>
            <w:r>
              <w:rPr>
                <w:b/>
                <w:sz w:val="18"/>
              </w:rPr>
              <w:t>Vegetación existente</w:t>
            </w:r>
          </w:p>
        </w:tc>
        <w:tc>
          <w:tcPr>
            <w:tcW w:type="dxa" w:w="11055"/>
            <w:vAlign w:val="top"/>
          </w:tcPr>
          <w:p>
            <w:pPr>
              <w:spacing w:after="20"/>
            </w:pPr>
            <w:r/>
            <w:r>
              <w:rPr>
                <w:b w:val="0"/>
                <w:sz w:val="18"/>
              </w:rPr>
              <w:t>Palo mulato (Bursera simaruba), Cocuite (Gliricidia sepium), Guácimo (Guazuma ulmifolia), Huizache (Vachellia farnesiana), Jobo (Spondias mombin), Ceiba (Ceiba pentandra)</w:t>
            </w:r>
          </w:p>
        </w:tc>
      </w:tr>
      <w:tr>
        <w:tc>
          <w:tcPr>
            <w:tcW w:type="dxa" w:w="2835"/>
            <w:shd w:val="clear" w:fill="E3ECD9"/>
            <w:vAlign w:val="top"/>
          </w:tcPr>
          <w:p>
            <w:pPr>
              <w:spacing w:after="20"/>
            </w:pPr>
            <w:r/>
            <w:r>
              <w:rPr>
                <w:b/>
                <w:sz w:val="18"/>
              </w:rPr>
              <w:t>Clima, suelo y paisaje</w:t>
            </w:r>
          </w:p>
        </w:tc>
        <w:tc>
          <w:tcPr>
            <w:tcW w:type="dxa" w:w="11055"/>
            <w:vAlign w:val="top"/>
          </w:tcPr>
          <w:p>
            <w:pPr>
              <w:spacing w:after="20"/>
            </w:pPr>
            <w:r/>
            <w:r>
              <w:rPr>
                <w:b w:val="0"/>
                <w:sz w:val="18"/>
              </w:rPr>
              <w:t>Cálido subhúmedo, con temporada seca marcada. Suelos arcillosos de lomerío, someros en laderas con afloramientos de roca. Tras bajar unos 850 m desde Huatusco por Totutla, el cafetal y la caña dan paso a lomeríos cálidos con frutales, potreros y selva baja.</w:t>
            </w:r>
          </w:p>
        </w:tc>
      </w:tr>
    </w:tbl>
    <w:p>
      <w:r>
        <w:br w:type="page"/>
      </w:r>
    </w:p>
    <w:p>
      <w:pPr>
        <w:spacing w:after="0"/>
      </w:pPr>
      <w:r>
        <w:rPr>
          <w:b/>
          <w:color w:val="1B2618"/>
          <w:sz w:val="28"/>
        </w:rPr>
        <w:t>Sitio 2. Hato de la Higuera</w:t>
      </w:r>
    </w:p>
    <w:p>
      <w:pPr>
        <w:spacing w:after="120"/>
      </w:pPr>
      <w:r>
        <w:rPr>
          <w:b w:val="0"/>
          <w:sz w:val="19"/>
        </w:rPr>
        <w:t>Puente Nacional, Veracruz · 455 msnm · 10:30 a 11:50 h · Planta procesadora de pulpa de guanábana y de otras frutas.</w:t>
      </w:r>
    </w:p>
    <w:tbl>
      <w:tblPr>
        <w:tblStyle w:val="TableGrid"/>
        <w:tblW w:type="auto" w:w="0"/>
        <w:jc w:val="center"/>
        <w:tblLook w:firstColumn="1" w:firstRow="1" w:lastColumn="0" w:lastRow="0" w:noHBand="0" w:noVBand="1" w:val="04A0"/>
      </w:tblPr>
      <w:tblGrid>
        <w:gridCol w:w="7013"/>
        <w:gridCol w:w="7013"/>
      </w:tblGrid>
      <w:tr>
        <w:tc>
          <w:tcPr>
            <w:tcW w:type="dxa" w:w="2835"/>
            <w:shd w:val="clear" w:fill="E3ECD9"/>
            <w:vAlign w:val="top"/>
          </w:tcPr>
          <w:p>
            <w:pPr>
              <w:spacing w:after="20"/>
            </w:pPr>
            <w:r/>
            <w:r>
              <w:rPr>
                <w:b/>
                <w:sz w:val="18"/>
              </w:rPr>
              <w:t>Sistema productivo</w:t>
            </w:r>
          </w:p>
        </w:tc>
        <w:tc>
          <w:tcPr>
            <w:tcW w:type="dxa" w:w="11055"/>
            <w:vAlign w:val="top"/>
          </w:tcPr>
          <w:p>
            <w:pPr>
              <w:spacing w:after="20"/>
            </w:pPr>
            <w:r/>
            <w:r>
              <w:rPr>
                <w:b w:val="0"/>
                <w:sz w:val="18"/>
              </w:rPr>
              <w:t>Huertos de guanábana y otros frutales con transformación local en una planta de pulpa.</w:t>
            </w:r>
          </w:p>
        </w:tc>
      </w:tr>
      <w:tr>
        <w:tc>
          <w:tcPr>
            <w:tcW w:type="dxa" w:w="2835"/>
            <w:shd w:val="clear" w:fill="E3ECD9"/>
            <w:vAlign w:val="top"/>
          </w:tcPr>
          <w:p>
            <w:pPr>
              <w:spacing w:after="20"/>
            </w:pPr>
            <w:r/>
            <w:r>
              <w:rPr>
                <w:b/>
                <w:sz w:val="18"/>
              </w:rPr>
              <w:t>Elementos agroecológicos</w:t>
            </w:r>
          </w:p>
        </w:tc>
        <w:tc>
          <w:tcPr>
            <w:tcW w:type="dxa" w:w="11055"/>
            <w:vAlign w:val="top"/>
          </w:tcPr>
          <w:p>
            <w:pPr>
              <w:spacing w:after="20"/>
            </w:pPr>
            <w:r/>
            <w:r>
              <w:rPr>
                <w:b w:val="0"/>
                <w:sz w:val="18"/>
              </w:rPr>
              <w:t>Economía circular y solidaria, Eficiencia, Reciclaje, Valores humanos y sociales</w:t>
            </w:r>
          </w:p>
        </w:tc>
      </w:tr>
      <w:tr>
        <w:tc>
          <w:tcPr>
            <w:tcW w:type="dxa" w:w="2835"/>
            <w:shd w:val="clear" w:fill="F6ECD2"/>
            <w:vAlign w:val="top"/>
          </w:tcPr>
          <w:p>
            <w:pPr>
              <w:spacing w:after="20"/>
            </w:pPr>
            <w:r/>
            <w:r>
              <w:rPr>
                <w:b/>
                <w:sz w:val="18"/>
              </w:rPr>
              <w:t>Punto de análisis</w:t>
            </w:r>
          </w:p>
        </w:tc>
        <w:tc>
          <w:tcPr>
            <w:tcW w:type="dxa" w:w="11055"/>
            <w:vAlign w:val="top"/>
          </w:tcPr>
          <w:p>
            <w:pPr>
              <w:spacing w:after="20"/>
            </w:pPr>
            <w:r/>
            <w:r>
              <w:rPr>
                <w:b/>
                <w:sz w:val="19"/>
              </w:rPr>
              <w:t>¿Cuánto del valor de la fruta se queda en la comunidad, y cómo maneja la planta sus residuos, el agua y la energía?</w:t>
            </w:r>
          </w:p>
        </w:tc>
      </w:tr>
      <w:tr>
        <w:tc>
          <w:tcPr>
            <w:tcW w:type="dxa" w:w="2835"/>
            <w:shd w:val="clear" w:fill="E3ECD9"/>
            <w:vAlign w:val="top"/>
          </w:tcPr>
          <w:p>
            <w:pPr>
              <w:spacing w:after="20"/>
            </w:pPr>
            <w:r/>
            <w:r>
              <w:rPr>
                <w:b/>
                <w:sz w:val="18"/>
              </w:rPr>
              <w:t>Qué observar</w:t>
            </w:r>
          </w:p>
        </w:tc>
        <w:tc>
          <w:tcPr>
            <w:tcW w:type="dxa" w:w="11055"/>
            <w:vAlign w:val="top"/>
          </w:tcPr>
          <w:p>
            <w:pPr>
              <w:spacing w:after="20"/>
            </w:pPr>
            <w:r/>
            <w:r>
              <w:rPr>
                <w:sz w:val="18"/>
              </w:rPr>
              <w:t>☐ Origen de la fruta (huertos propios o compra a vecinos) y precio que se paga al productor.</w:t>
            </w:r>
          </w:p>
          <w:p>
            <w:pPr>
              <w:spacing w:after="20"/>
            </w:pPr>
            <w:r>
              <w:rPr>
                <w:sz w:val="18"/>
              </w:rPr>
              <w:t>☐ Polinización y amarre del fruto de la guanábana.</w:t>
            </w:r>
          </w:p>
          <w:p>
            <w:pPr>
              <w:spacing w:after="20"/>
            </w:pPr>
            <w:r>
              <w:rPr>
                <w:sz w:val="18"/>
              </w:rPr>
              <w:t>☐ Plagas del fruto (barrenador Cerconota anonella, perforador de semilla Bephratelloides) y su control.</w:t>
            </w:r>
          </w:p>
          <w:p>
            <w:pPr>
              <w:spacing w:after="20"/>
            </w:pPr>
            <w:r>
              <w:rPr>
                <w:sz w:val="18"/>
              </w:rPr>
              <w:t>☐ Consumo de agua y de energía para refrigerar y congelar la pulpa.</w:t>
            </w:r>
          </w:p>
          <w:p>
            <w:pPr>
              <w:spacing w:after="20"/>
            </w:pPr>
            <w:r>
              <w:rPr>
                <w:sz w:val="18"/>
              </w:rPr>
              <w:t>☐ Destino de cáscaras, semillas y fruta de desecho.</w:t>
            </w:r>
          </w:p>
          <w:p>
            <w:pPr>
              <w:spacing w:after="20"/>
            </w:pPr>
            <w:r>
              <w:rPr>
                <w:sz w:val="18"/>
              </w:rPr>
              <w:t>☐ Organización (familiar o cooperativa) y mercados de la pulpa.</w:t>
            </w:r>
          </w:p>
        </w:tc>
      </w:tr>
      <w:tr>
        <w:tc>
          <w:tcPr>
            <w:tcW w:type="dxa" w:w="2835"/>
            <w:shd w:val="clear" w:fill="E3ECD9"/>
            <w:vAlign w:val="top"/>
          </w:tcPr>
          <w:p>
            <w:pPr>
              <w:spacing w:after="20"/>
            </w:pPr>
            <w:r/>
            <w:r>
              <w:rPr>
                <w:b/>
                <w:sz w:val="18"/>
              </w:rPr>
              <w:t>Alternativas desde la sostenibilidad</w:t>
            </w:r>
          </w:p>
        </w:tc>
        <w:tc>
          <w:tcPr>
            <w:tcW w:type="dxa" w:w="11055"/>
            <w:vAlign w:val="top"/>
          </w:tcPr>
          <w:p>
            <w:pPr>
              <w:spacing w:after="20"/>
            </w:pPr>
            <w:r/>
            <w:r>
              <w:rPr>
                <w:sz w:val="18"/>
              </w:rPr>
              <w:t>• Compostaje de cáscaras y desechos para regresarlos a los huertos.</w:t>
            </w:r>
          </w:p>
          <w:p>
            <w:pPr>
              <w:spacing w:after="20"/>
            </w:pPr>
            <w:r>
              <w:rPr>
                <w:sz w:val="18"/>
              </w:rPr>
              <w:t>• Energía solar para la refrigeración.</w:t>
            </w:r>
          </w:p>
          <w:p>
            <w:pPr>
              <w:spacing w:after="20"/>
            </w:pPr>
            <w:r>
              <w:rPr>
                <w:sz w:val="18"/>
              </w:rPr>
              <w:t>• Polinización manual y conservación de los escarabajos polinizadores.</w:t>
            </w:r>
          </w:p>
          <w:p>
            <w:pPr>
              <w:spacing w:after="20"/>
            </w:pPr>
            <w:r>
              <w:rPr>
                <w:sz w:val="18"/>
              </w:rPr>
              <w:t>• Embolsado del fruto para protegerlo de los barrenadores.</w:t>
            </w:r>
          </w:p>
          <w:p>
            <w:pPr>
              <w:spacing w:after="20"/>
            </w:pPr>
            <w:r>
              <w:rPr>
                <w:sz w:val="18"/>
              </w:rPr>
              <w:t>• Certificación participativa y venta en mercados locales y regionales.</w:t>
            </w:r>
          </w:p>
        </w:tc>
      </w:tr>
      <w:tr>
        <w:tc>
          <w:tcPr>
            <w:tcW w:type="dxa" w:w="2835"/>
            <w:shd w:val="clear" w:fill="E3ECD9"/>
            <w:vAlign w:val="top"/>
          </w:tcPr>
          <w:p>
            <w:pPr>
              <w:spacing w:after="20"/>
            </w:pPr>
            <w:r/>
            <w:r>
              <w:rPr>
                <w:b/>
                <w:sz w:val="18"/>
              </w:rPr>
              <w:t>Cultivos</w:t>
            </w:r>
          </w:p>
        </w:tc>
        <w:tc>
          <w:tcPr>
            <w:tcW w:type="dxa" w:w="11055"/>
            <w:vAlign w:val="top"/>
          </w:tcPr>
          <w:p>
            <w:pPr>
              <w:spacing w:after="20"/>
            </w:pPr>
            <w:r/>
            <w:r>
              <w:rPr>
                <w:b w:val="0"/>
                <w:sz w:val="18"/>
              </w:rPr>
              <w:t>Guanábana, Mango, Otros frutales tropicales, Maíz</w:t>
            </w:r>
          </w:p>
        </w:tc>
      </w:tr>
      <w:tr>
        <w:tc>
          <w:tcPr>
            <w:tcW w:type="dxa" w:w="2835"/>
            <w:shd w:val="clear" w:fill="E3ECD9"/>
            <w:vAlign w:val="top"/>
          </w:tcPr>
          <w:p>
            <w:pPr>
              <w:spacing w:after="20"/>
            </w:pPr>
            <w:r/>
            <w:r>
              <w:rPr>
                <w:b/>
                <w:sz w:val="18"/>
              </w:rPr>
              <w:t>Fauna</w:t>
            </w:r>
          </w:p>
        </w:tc>
        <w:tc>
          <w:tcPr>
            <w:tcW w:type="dxa" w:w="11055"/>
            <w:vAlign w:val="top"/>
          </w:tcPr>
          <w:p>
            <w:pPr>
              <w:spacing w:after="20"/>
            </w:pPr>
            <w:r/>
            <w:r>
              <w:rPr>
                <w:b w:val="0"/>
                <w:sz w:val="18"/>
              </w:rPr>
              <w:t>Chachalaca (Ortalis vetula), Urraca copetona (Calocitta formosa), Zanate (Quiscalus mexicanus), Iguana verde (Iguana iguana), Garrobo (Ctenosaura sp.), Tlacuache (Didelphis sp.), Armadillo (Dasypus novemcinctus), Escarabajos polinizadores de la guanábana (Nitidulidae), Abejas nativas sin aguijón</w:t>
            </w:r>
          </w:p>
        </w:tc>
      </w:tr>
      <w:tr>
        <w:tc>
          <w:tcPr>
            <w:tcW w:type="dxa" w:w="2835"/>
            <w:shd w:val="clear" w:fill="E3ECD9"/>
            <w:vAlign w:val="top"/>
          </w:tcPr>
          <w:p>
            <w:pPr>
              <w:spacing w:after="20"/>
            </w:pPr>
            <w:r/>
            <w:r>
              <w:rPr>
                <w:b/>
                <w:sz w:val="18"/>
              </w:rPr>
              <w:t>Vegetación existente</w:t>
            </w:r>
          </w:p>
        </w:tc>
        <w:tc>
          <w:tcPr>
            <w:tcW w:type="dxa" w:w="11055"/>
            <w:vAlign w:val="top"/>
          </w:tcPr>
          <w:p>
            <w:pPr>
              <w:spacing w:after="20"/>
            </w:pPr>
            <w:r/>
            <w:r>
              <w:rPr>
                <w:b w:val="0"/>
                <w:sz w:val="18"/>
              </w:rPr>
              <w:t>Palo mulato (Bursera simaruba), Cocuite (Gliricidia sepium), Guácimo (Guazuma ulmifolia), Cornezuelo (Vachellia cornigera), Jobo (Spondias mombin)</w:t>
            </w:r>
          </w:p>
        </w:tc>
      </w:tr>
      <w:tr>
        <w:tc>
          <w:tcPr>
            <w:tcW w:type="dxa" w:w="2835"/>
            <w:shd w:val="clear" w:fill="E3ECD9"/>
            <w:vAlign w:val="top"/>
          </w:tcPr>
          <w:p>
            <w:pPr>
              <w:spacing w:after="20"/>
            </w:pPr>
            <w:r/>
            <w:r>
              <w:rPr>
                <w:b/>
                <w:sz w:val="18"/>
              </w:rPr>
              <w:t>Clima, suelo y paisaje</w:t>
            </w:r>
          </w:p>
        </w:tc>
        <w:tc>
          <w:tcPr>
            <w:tcW w:type="dxa" w:w="11055"/>
            <w:vAlign w:val="top"/>
          </w:tcPr>
          <w:p>
            <w:pPr>
              <w:spacing w:after="20"/>
            </w:pPr>
            <w:r/>
            <w:r>
              <w:rPr>
                <w:b w:val="0"/>
                <w:sz w:val="18"/>
              </w:rPr>
              <w:t>Cálido subhúmedo, de los más calurosos del recorrido. Suelos arcillosos de lomerío, someros en laderas con afloramientos de roca. A menos de 2 km de Mata de Zarza: el mismo paisaje de lomeríos cálidos con frutales.</w:t>
            </w:r>
          </w:p>
        </w:tc>
      </w:tr>
    </w:tbl>
    <w:p>
      <w:r>
        <w:br w:type="page"/>
      </w:r>
    </w:p>
    <w:p>
      <w:pPr>
        <w:spacing w:after="0"/>
      </w:pPr>
      <w:r>
        <w:rPr>
          <w:b/>
          <w:color w:val="1B2618"/>
          <w:sz w:val="28"/>
        </w:rPr>
        <w:t>Sitio 3. El Coyol</w:t>
      </w:r>
    </w:p>
    <w:p>
      <w:pPr>
        <w:spacing w:after="120"/>
      </w:pPr>
      <w:r>
        <w:rPr>
          <w:b w:val="0"/>
          <w:sz w:val="19"/>
        </w:rPr>
        <w:t>Comapa, Veracruz · 545 msnm · 12:50 a 14:20 h · Comunidad ganadera: elaboración artesanal del queso tradicional jarocho.</w:t>
      </w:r>
    </w:p>
    <w:tbl>
      <w:tblPr>
        <w:tblStyle w:val="TableGrid"/>
        <w:tblW w:type="auto" w:w="0"/>
        <w:jc w:val="center"/>
        <w:tblLook w:firstColumn="1" w:firstRow="1" w:lastColumn="0" w:lastRow="0" w:noHBand="0" w:noVBand="1" w:val="04A0"/>
      </w:tblPr>
      <w:tblGrid>
        <w:gridCol w:w="7013"/>
        <w:gridCol w:w="7013"/>
      </w:tblGrid>
      <w:tr>
        <w:tc>
          <w:tcPr>
            <w:tcW w:type="dxa" w:w="2835"/>
            <w:shd w:val="clear" w:fill="E3ECD9"/>
            <w:vAlign w:val="top"/>
          </w:tcPr>
          <w:p>
            <w:pPr>
              <w:spacing w:after="20"/>
            </w:pPr>
            <w:r/>
            <w:r>
              <w:rPr>
                <w:b/>
                <w:sz w:val="18"/>
              </w:rPr>
              <w:t>Sistema productivo</w:t>
            </w:r>
          </w:p>
        </w:tc>
        <w:tc>
          <w:tcPr>
            <w:tcW w:type="dxa" w:w="11055"/>
            <w:vAlign w:val="top"/>
          </w:tcPr>
          <w:p>
            <w:pPr>
              <w:spacing w:after="20"/>
            </w:pPr>
            <w:r/>
            <w:r>
              <w:rPr>
                <w:b w:val="0"/>
                <w:sz w:val="18"/>
              </w:rPr>
              <w:t>Ganadería bovina de doble propósito en pastoreo, con transformación artesanal de la leche en queso.</w:t>
            </w:r>
          </w:p>
        </w:tc>
      </w:tr>
      <w:tr>
        <w:tc>
          <w:tcPr>
            <w:tcW w:type="dxa" w:w="2835"/>
            <w:shd w:val="clear" w:fill="E3ECD9"/>
            <w:vAlign w:val="top"/>
          </w:tcPr>
          <w:p>
            <w:pPr>
              <w:spacing w:after="20"/>
            </w:pPr>
            <w:r/>
            <w:r>
              <w:rPr>
                <w:b/>
                <w:sz w:val="18"/>
              </w:rPr>
              <w:t>Elementos agroecológicos</w:t>
            </w:r>
          </w:p>
        </w:tc>
        <w:tc>
          <w:tcPr>
            <w:tcW w:type="dxa" w:w="11055"/>
            <w:vAlign w:val="top"/>
          </w:tcPr>
          <w:p>
            <w:pPr>
              <w:spacing w:after="20"/>
            </w:pPr>
            <w:r/>
            <w:r>
              <w:rPr>
                <w:b w:val="0"/>
                <w:sz w:val="18"/>
              </w:rPr>
              <w:t>Cultura y tradiciones alimentarias, Sinergias, Reciclaje, Economía circular y solidaria</w:t>
            </w:r>
          </w:p>
        </w:tc>
      </w:tr>
      <w:tr>
        <w:tc>
          <w:tcPr>
            <w:tcW w:type="dxa" w:w="2835"/>
            <w:shd w:val="clear" w:fill="F6ECD2"/>
            <w:vAlign w:val="top"/>
          </w:tcPr>
          <w:p>
            <w:pPr>
              <w:spacing w:after="20"/>
            </w:pPr>
            <w:r/>
            <w:r>
              <w:rPr>
                <w:b/>
                <w:sz w:val="18"/>
              </w:rPr>
              <w:t>Punto de análisis</w:t>
            </w:r>
          </w:p>
        </w:tc>
        <w:tc>
          <w:tcPr>
            <w:tcW w:type="dxa" w:w="11055"/>
            <w:vAlign w:val="top"/>
          </w:tcPr>
          <w:p>
            <w:pPr>
              <w:spacing w:after="20"/>
            </w:pPr>
            <w:r/>
            <w:r>
              <w:rPr>
                <w:b/>
                <w:sz w:val="19"/>
              </w:rPr>
              <w:t>¿Puede la ganadería de doble propósito sostener el queso tradicional sin degradar los potreros, y qué se hace con el suero?</w:t>
            </w:r>
          </w:p>
        </w:tc>
      </w:tr>
      <w:tr>
        <w:tc>
          <w:tcPr>
            <w:tcW w:type="dxa" w:w="2835"/>
            <w:shd w:val="clear" w:fill="E3ECD9"/>
            <w:vAlign w:val="top"/>
          </w:tcPr>
          <w:p>
            <w:pPr>
              <w:spacing w:after="20"/>
            </w:pPr>
            <w:r/>
            <w:r>
              <w:rPr>
                <w:b/>
                <w:sz w:val="18"/>
              </w:rPr>
              <w:t>Qué observar</w:t>
            </w:r>
          </w:p>
        </w:tc>
        <w:tc>
          <w:tcPr>
            <w:tcW w:type="dxa" w:w="11055"/>
            <w:vAlign w:val="top"/>
          </w:tcPr>
          <w:p>
            <w:pPr>
              <w:spacing w:after="20"/>
            </w:pPr>
            <w:r/>
            <w:r>
              <w:rPr>
                <w:sz w:val="18"/>
              </w:rPr>
              <w:t>☐ Carga animal y estado de los potreros: cobertura, erosión y malezas.</w:t>
            </w:r>
          </w:p>
          <w:p>
            <w:pPr>
              <w:spacing w:after="20"/>
            </w:pPr>
            <w:r>
              <w:rPr>
                <w:sz w:val="18"/>
              </w:rPr>
              <w:t>☐ Árboles en potreros y cercas vivas: sombra y forraje para el ganado.</w:t>
            </w:r>
          </w:p>
          <w:p>
            <w:pPr>
              <w:spacing w:after="20"/>
            </w:pPr>
            <w:r>
              <w:rPr>
                <w:sz w:val="18"/>
              </w:rPr>
              <w:t>☐ Sanidad del hato (garrapata, mastitis) y uso de desparasitantes y acaricidas.</w:t>
            </w:r>
          </w:p>
          <w:p>
            <w:pPr>
              <w:spacing w:after="20"/>
            </w:pPr>
            <w:r>
              <w:rPr>
                <w:sz w:val="18"/>
              </w:rPr>
              <w:t>☐ Higiene en el ordeño y en la elaboración del queso; leche cruda o pasteurizada.</w:t>
            </w:r>
          </w:p>
          <w:p>
            <w:pPr>
              <w:spacing w:after="20"/>
            </w:pPr>
            <w:r>
              <w:rPr>
                <w:sz w:val="18"/>
              </w:rPr>
              <w:t>☐ Destino del suero que queda del queso.</w:t>
            </w:r>
          </w:p>
          <w:p>
            <w:pPr>
              <w:spacing w:after="20"/>
            </w:pPr>
            <w:r>
              <w:rPr>
                <w:sz w:val="18"/>
              </w:rPr>
              <w:t>☐ Precio del queso y canales de venta.</w:t>
            </w:r>
          </w:p>
        </w:tc>
      </w:tr>
      <w:tr>
        <w:tc>
          <w:tcPr>
            <w:tcW w:type="dxa" w:w="2835"/>
            <w:shd w:val="clear" w:fill="E3ECD9"/>
            <w:vAlign w:val="top"/>
          </w:tcPr>
          <w:p>
            <w:pPr>
              <w:spacing w:after="20"/>
            </w:pPr>
            <w:r/>
            <w:r>
              <w:rPr>
                <w:b/>
                <w:sz w:val="18"/>
              </w:rPr>
              <w:t>Alternativas desde la sostenibilidad</w:t>
            </w:r>
          </w:p>
        </w:tc>
        <w:tc>
          <w:tcPr>
            <w:tcW w:type="dxa" w:w="11055"/>
            <w:vAlign w:val="top"/>
          </w:tcPr>
          <w:p>
            <w:pPr>
              <w:spacing w:after="20"/>
            </w:pPr>
            <w:r/>
            <w:r>
              <w:rPr>
                <w:sz w:val="18"/>
              </w:rPr>
              <w:t>• Silvopastoreo con leucaena, cocuite y guácimo.</w:t>
            </w:r>
          </w:p>
          <w:p>
            <w:pPr>
              <w:spacing w:after="20"/>
            </w:pPr>
            <w:r>
              <w:rPr>
                <w:sz w:val="18"/>
              </w:rPr>
              <w:t>• Pastoreo rotacional y ajuste de la carga animal.</w:t>
            </w:r>
          </w:p>
          <w:p>
            <w:pPr>
              <w:spacing w:after="20"/>
            </w:pPr>
            <w:r>
              <w:rPr>
                <w:sz w:val="18"/>
              </w:rPr>
              <w:t>• Suplementación mineral y control integrado de la garrapata (rotación, hongos entomopatógenos).</w:t>
            </w:r>
          </w:p>
          <w:p>
            <w:pPr>
              <w:spacing w:after="20"/>
            </w:pPr>
            <w:r>
              <w:rPr>
                <w:sz w:val="18"/>
              </w:rPr>
              <w:t>• Uso del suero para alimentar cerdos y aves, o para elaborar requesón.</w:t>
            </w:r>
          </w:p>
          <w:p>
            <w:pPr>
              <w:spacing w:after="20"/>
            </w:pPr>
            <w:r>
              <w:rPr>
                <w:sz w:val="18"/>
              </w:rPr>
              <w:t>• Biodigestor con excretas y una marca colectiva para el queso jarocho.</w:t>
            </w:r>
          </w:p>
        </w:tc>
      </w:tr>
      <w:tr>
        <w:tc>
          <w:tcPr>
            <w:tcW w:type="dxa" w:w="2835"/>
            <w:shd w:val="clear" w:fill="E3ECD9"/>
            <w:vAlign w:val="top"/>
          </w:tcPr>
          <w:p>
            <w:pPr>
              <w:spacing w:after="20"/>
            </w:pPr>
            <w:r/>
            <w:r>
              <w:rPr>
                <w:b/>
                <w:sz w:val="18"/>
              </w:rPr>
              <w:t>Cultivos</w:t>
            </w:r>
          </w:p>
        </w:tc>
        <w:tc>
          <w:tcPr>
            <w:tcW w:type="dxa" w:w="11055"/>
            <w:vAlign w:val="top"/>
          </w:tcPr>
          <w:p>
            <w:pPr>
              <w:spacing w:after="20"/>
            </w:pPr>
            <w:r/>
            <w:r>
              <w:rPr>
                <w:b w:val="0"/>
                <w:sz w:val="18"/>
              </w:rPr>
              <w:t>Pastos (estrella africana, guinea), Maíz, Leucaena y otras forrajeras</w:t>
            </w:r>
          </w:p>
        </w:tc>
      </w:tr>
      <w:tr>
        <w:tc>
          <w:tcPr>
            <w:tcW w:type="dxa" w:w="2835"/>
            <w:shd w:val="clear" w:fill="E3ECD9"/>
            <w:vAlign w:val="top"/>
          </w:tcPr>
          <w:p>
            <w:pPr>
              <w:spacing w:after="20"/>
            </w:pPr>
            <w:r/>
            <w:r>
              <w:rPr>
                <w:b/>
                <w:sz w:val="18"/>
              </w:rPr>
              <w:t>Fauna</w:t>
            </w:r>
          </w:p>
        </w:tc>
        <w:tc>
          <w:tcPr>
            <w:tcW w:type="dxa" w:w="11055"/>
            <w:vAlign w:val="top"/>
          </w:tcPr>
          <w:p>
            <w:pPr>
              <w:spacing w:after="20"/>
            </w:pPr>
            <w:r/>
            <w:r>
              <w:rPr>
                <w:b w:val="0"/>
                <w:sz w:val="18"/>
              </w:rPr>
              <w:t>Garza ganadera (Bubulcus ibis), Zopilote (Coragyps atratus), Zanate (Quiscalus mexicanus), Murciélago vampiro (Desmodus rotundus), transmisor de la rabia paralítica, Coyote (Canis latrans), Tlacuache (Didelphis sp.), Armadillo (Dasypus novemcinctus)</w:t>
            </w:r>
          </w:p>
        </w:tc>
      </w:tr>
      <w:tr>
        <w:tc>
          <w:tcPr>
            <w:tcW w:type="dxa" w:w="2835"/>
            <w:shd w:val="clear" w:fill="E3ECD9"/>
            <w:vAlign w:val="top"/>
          </w:tcPr>
          <w:p>
            <w:pPr>
              <w:spacing w:after="20"/>
            </w:pPr>
            <w:r/>
            <w:r>
              <w:rPr>
                <w:b/>
                <w:sz w:val="18"/>
              </w:rPr>
              <w:t>Vegetación existente</w:t>
            </w:r>
          </w:p>
        </w:tc>
        <w:tc>
          <w:tcPr>
            <w:tcW w:type="dxa" w:w="11055"/>
            <w:vAlign w:val="top"/>
          </w:tcPr>
          <w:p>
            <w:pPr>
              <w:spacing w:after="20"/>
            </w:pPr>
            <w:r/>
            <w:r>
              <w:rPr>
                <w:b w:val="0"/>
                <w:sz w:val="18"/>
              </w:rPr>
              <w:t>Guácimo (Guazuma ulmifolia), Cocuite (Gliricidia sepium), Palo mulato (Bursera simaruba), Huizache (Vachellia farnesiana), Cornezuelo (Vachellia cornigera)</w:t>
            </w:r>
          </w:p>
        </w:tc>
      </w:tr>
      <w:tr>
        <w:tc>
          <w:tcPr>
            <w:tcW w:type="dxa" w:w="2835"/>
            <w:shd w:val="clear" w:fill="E3ECD9"/>
            <w:vAlign w:val="top"/>
          </w:tcPr>
          <w:p>
            <w:pPr>
              <w:spacing w:after="20"/>
            </w:pPr>
            <w:r/>
            <w:r>
              <w:rPr>
                <w:b/>
                <w:sz w:val="18"/>
              </w:rPr>
              <w:t>Clima, suelo y paisaje</w:t>
            </w:r>
          </w:p>
        </w:tc>
        <w:tc>
          <w:tcPr>
            <w:tcW w:type="dxa" w:w="11055"/>
            <w:vAlign w:val="top"/>
          </w:tcPr>
          <w:p>
            <w:pPr>
              <w:spacing w:after="20"/>
            </w:pPr>
            <w:r/>
            <w:r>
              <w:rPr>
                <w:b w:val="0"/>
                <w:sz w:val="18"/>
              </w:rPr>
              <w:t>Cálido subhúmedo. Vertisoles arcillosos que se agrietan en la temporada seca. Después de cruzar la barranca de Acazónica (cerca de 170 m) se sube a los lomeríos ganaderos de Comapa: dominan los potreros.</w:t>
            </w:r>
          </w:p>
        </w:tc>
      </w:tr>
    </w:tbl>
    <w:p>
      <w:r>
        <w:br w:type="page"/>
      </w:r>
    </w:p>
    <w:p>
      <w:pPr>
        <w:spacing w:after="0"/>
      </w:pPr>
      <w:r>
        <w:rPr>
          <w:b/>
          <w:color w:val="1B2618"/>
          <w:sz w:val="28"/>
        </w:rPr>
        <w:t>Sitio 4. Paso Pimienta</w:t>
      </w:r>
    </w:p>
    <w:p>
      <w:pPr>
        <w:spacing w:after="120"/>
      </w:pPr>
      <w:r>
        <w:rPr>
          <w:b w:val="0"/>
          <w:sz w:val="19"/>
        </w:rPr>
        <w:t>Comapa, Veracruz · 549 msnm · 14:40 a 17:15 h · Integración de la producción de maíz criollo, nixtamalización y venta de tortillas. Comida y cierre del recorrido.</w:t>
      </w:r>
    </w:p>
    <w:tbl>
      <w:tblPr>
        <w:tblStyle w:val="TableGrid"/>
        <w:tblW w:type="auto" w:w="0"/>
        <w:jc w:val="center"/>
        <w:tblLook w:firstColumn="1" w:firstRow="1" w:lastColumn="0" w:lastRow="0" w:noHBand="0" w:noVBand="1" w:val="04A0"/>
      </w:tblPr>
      <w:tblGrid>
        <w:gridCol w:w="7013"/>
        <w:gridCol w:w="7013"/>
      </w:tblGrid>
      <w:tr>
        <w:tc>
          <w:tcPr>
            <w:tcW w:type="dxa" w:w="2835"/>
            <w:shd w:val="clear" w:fill="E3ECD9"/>
            <w:vAlign w:val="top"/>
          </w:tcPr>
          <w:p>
            <w:pPr>
              <w:spacing w:after="20"/>
            </w:pPr>
            <w:r/>
            <w:r>
              <w:rPr>
                <w:b/>
                <w:sz w:val="18"/>
              </w:rPr>
              <w:t>Sistema productivo</w:t>
            </w:r>
          </w:p>
        </w:tc>
        <w:tc>
          <w:tcPr>
            <w:tcW w:type="dxa" w:w="11055"/>
            <w:vAlign w:val="top"/>
          </w:tcPr>
          <w:p>
            <w:pPr>
              <w:spacing w:after="20"/>
            </w:pPr>
            <w:r/>
            <w:r>
              <w:rPr>
                <w:b w:val="0"/>
                <w:sz w:val="18"/>
              </w:rPr>
              <w:t>Milpa con maíces criollos, nixtamalización familiar y venta directa de tortillas.</w:t>
            </w:r>
          </w:p>
        </w:tc>
      </w:tr>
      <w:tr>
        <w:tc>
          <w:tcPr>
            <w:tcW w:type="dxa" w:w="2835"/>
            <w:shd w:val="clear" w:fill="E3ECD9"/>
            <w:vAlign w:val="top"/>
          </w:tcPr>
          <w:p>
            <w:pPr>
              <w:spacing w:after="20"/>
            </w:pPr>
            <w:r/>
            <w:r>
              <w:rPr>
                <w:b/>
                <w:sz w:val="18"/>
              </w:rPr>
              <w:t>Elementos agroecológicos</w:t>
            </w:r>
          </w:p>
        </w:tc>
        <w:tc>
          <w:tcPr>
            <w:tcW w:type="dxa" w:w="11055"/>
            <w:vAlign w:val="top"/>
          </w:tcPr>
          <w:p>
            <w:pPr>
              <w:spacing w:after="20"/>
            </w:pPr>
            <w:r/>
            <w:r>
              <w:rPr>
                <w:b w:val="0"/>
                <w:sz w:val="18"/>
              </w:rPr>
              <w:t>Diversidad, Cultura y tradiciones alimentarias, Resiliencia, Economía circular y solidaria</w:t>
            </w:r>
          </w:p>
        </w:tc>
      </w:tr>
      <w:tr>
        <w:tc>
          <w:tcPr>
            <w:tcW w:type="dxa" w:w="2835"/>
            <w:shd w:val="clear" w:fill="F6ECD2"/>
            <w:vAlign w:val="top"/>
          </w:tcPr>
          <w:p>
            <w:pPr>
              <w:spacing w:after="20"/>
            </w:pPr>
            <w:r/>
            <w:r>
              <w:rPr>
                <w:b/>
                <w:sz w:val="18"/>
              </w:rPr>
              <w:t>Punto de análisis</w:t>
            </w:r>
          </w:p>
        </w:tc>
        <w:tc>
          <w:tcPr>
            <w:tcW w:type="dxa" w:w="11055"/>
            <w:vAlign w:val="top"/>
          </w:tcPr>
          <w:p>
            <w:pPr>
              <w:spacing w:after="20"/>
            </w:pPr>
            <w:r/>
            <w:r>
              <w:rPr>
                <w:b/>
                <w:sz w:val="19"/>
              </w:rPr>
              <w:t>¿Cómo se sostiene la conservación de los maíces criollos cuando la tortilla se vende, y qué pasa con el nejayote y la leña del nixtamal?</w:t>
            </w:r>
          </w:p>
        </w:tc>
      </w:tr>
      <w:tr>
        <w:tc>
          <w:tcPr>
            <w:tcW w:type="dxa" w:w="2835"/>
            <w:shd w:val="clear" w:fill="E3ECD9"/>
            <w:vAlign w:val="top"/>
          </w:tcPr>
          <w:p>
            <w:pPr>
              <w:spacing w:after="20"/>
            </w:pPr>
            <w:r/>
            <w:r>
              <w:rPr>
                <w:b/>
                <w:sz w:val="18"/>
              </w:rPr>
              <w:t>Qué observar</w:t>
            </w:r>
          </w:p>
        </w:tc>
        <w:tc>
          <w:tcPr>
            <w:tcW w:type="dxa" w:w="11055"/>
            <w:vAlign w:val="top"/>
          </w:tcPr>
          <w:p>
            <w:pPr>
              <w:spacing w:after="20"/>
            </w:pPr>
            <w:r/>
            <w:r>
              <w:rPr>
                <w:sz w:val="18"/>
              </w:rPr>
              <w:t>☐ Variedades de maíz criollo (colores, ciclos) y cómo se selecciona y guarda la semilla.</w:t>
            </w:r>
          </w:p>
          <w:p>
            <w:pPr>
              <w:spacing w:after="20"/>
            </w:pPr>
            <w:r>
              <w:rPr>
                <w:sz w:val="18"/>
              </w:rPr>
              <w:t>☐ Cultivos asociados en la milpa y fertilidad del suelo.</w:t>
            </w:r>
          </w:p>
          <w:p>
            <w:pPr>
              <w:spacing w:after="20"/>
            </w:pPr>
            <w:r>
              <w:rPr>
                <w:sz w:val="18"/>
              </w:rPr>
              <w:t>☐ Plagas del cultivo y del grano almacenado (gusano cogollero, gorgojo) y su control.</w:t>
            </w:r>
          </w:p>
          <w:p>
            <w:pPr>
              <w:spacing w:after="20"/>
            </w:pPr>
            <w:r>
              <w:rPr>
                <w:sz w:val="18"/>
              </w:rPr>
              <w:t>☐ Proceso de nixtamalización (cal, tiempos, molino) y manejo del nejayote.</w:t>
            </w:r>
          </w:p>
          <w:p>
            <w:pPr>
              <w:spacing w:after="20"/>
            </w:pPr>
            <w:r>
              <w:rPr>
                <w:sz w:val="18"/>
              </w:rPr>
              <w:t>☐ Combustible usado (leña o gas) y de dónde proviene.</w:t>
            </w:r>
          </w:p>
          <w:p>
            <w:pPr>
              <w:spacing w:after="20"/>
            </w:pPr>
            <w:r>
              <w:rPr>
                <w:sz w:val="18"/>
              </w:rPr>
              <w:t>☐ Quién produce y vende, y precio frente a la tortilla industrial.</w:t>
            </w:r>
          </w:p>
        </w:tc>
      </w:tr>
      <w:tr>
        <w:tc>
          <w:tcPr>
            <w:tcW w:type="dxa" w:w="2835"/>
            <w:shd w:val="clear" w:fill="E3ECD9"/>
            <w:vAlign w:val="top"/>
          </w:tcPr>
          <w:p>
            <w:pPr>
              <w:spacing w:after="20"/>
            </w:pPr>
            <w:r/>
            <w:r>
              <w:rPr>
                <w:b/>
                <w:sz w:val="18"/>
              </w:rPr>
              <w:t>Alternativas desde la sostenibilidad</w:t>
            </w:r>
          </w:p>
        </w:tc>
        <w:tc>
          <w:tcPr>
            <w:tcW w:type="dxa" w:w="11055"/>
            <w:vAlign w:val="top"/>
          </w:tcPr>
          <w:p>
            <w:pPr>
              <w:spacing w:after="20"/>
            </w:pPr>
            <w:r/>
            <w:r>
              <w:rPr>
                <w:sz w:val="18"/>
              </w:rPr>
              <w:t>• Banco comunitario de semillas y ferias de intercambio de maíces criollos.</w:t>
            </w:r>
          </w:p>
          <w:p>
            <w:pPr>
              <w:spacing w:after="20"/>
            </w:pPr>
            <w:r>
              <w:rPr>
                <w:sz w:val="18"/>
              </w:rPr>
              <w:t>• Milpa intercalada con frutales y abonos verdes (mucuna, canavalia).</w:t>
            </w:r>
          </w:p>
          <w:p>
            <w:pPr>
              <w:spacing w:after="20"/>
            </w:pPr>
            <w:r>
              <w:rPr>
                <w:sz w:val="18"/>
              </w:rPr>
              <w:t>• Tratamiento del nejayote (sedimentación, uso diluido) en lugar de verterlo al suelo o arroyos.</w:t>
            </w:r>
          </w:p>
          <w:p>
            <w:pPr>
              <w:spacing w:after="20"/>
            </w:pPr>
            <w:r>
              <w:rPr>
                <w:sz w:val="18"/>
              </w:rPr>
              <w:t>• Estufas ahorradoras de leña.</w:t>
            </w:r>
          </w:p>
          <w:p>
            <w:pPr>
              <w:spacing w:after="20"/>
            </w:pPr>
            <w:r>
              <w:rPr>
                <w:sz w:val="18"/>
              </w:rPr>
              <w:t>• Distintivo de «tortilla de maíz criollo» con precio justo.</w:t>
            </w:r>
          </w:p>
        </w:tc>
      </w:tr>
      <w:tr>
        <w:tc>
          <w:tcPr>
            <w:tcW w:type="dxa" w:w="2835"/>
            <w:shd w:val="clear" w:fill="E3ECD9"/>
            <w:vAlign w:val="top"/>
          </w:tcPr>
          <w:p>
            <w:pPr>
              <w:spacing w:after="20"/>
            </w:pPr>
            <w:r/>
            <w:r>
              <w:rPr>
                <w:b/>
                <w:sz w:val="18"/>
              </w:rPr>
              <w:t>Cultivos</w:t>
            </w:r>
          </w:p>
        </w:tc>
        <w:tc>
          <w:tcPr>
            <w:tcW w:type="dxa" w:w="11055"/>
            <w:vAlign w:val="top"/>
          </w:tcPr>
          <w:p>
            <w:pPr>
              <w:spacing w:after="20"/>
            </w:pPr>
            <w:r/>
            <w:r>
              <w:rPr>
                <w:b w:val="0"/>
                <w:sz w:val="18"/>
              </w:rPr>
              <w:t>Maíz criollo, Frijol, Calabaza, Chile</w:t>
            </w:r>
          </w:p>
        </w:tc>
      </w:tr>
      <w:tr>
        <w:tc>
          <w:tcPr>
            <w:tcW w:type="dxa" w:w="2835"/>
            <w:shd w:val="clear" w:fill="E3ECD9"/>
            <w:vAlign w:val="top"/>
          </w:tcPr>
          <w:p>
            <w:pPr>
              <w:spacing w:after="20"/>
            </w:pPr>
            <w:r/>
            <w:r>
              <w:rPr>
                <w:b/>
                <w:sz w:val="18"/>
              </w:rPr>
              <w:t>Fauna</w:t>
            </w:r>
          </w:p>
        </w:tc>
        <w:tc>
          <w:tcPr>
            <w:tcW w:type="dxa" w:w="11055"/>
            <w:vAlign w:val="top"/>
          </w:tcPr>
          <w:p>
            <w:pPr>
              <w:spacing w:after="20"/>
            </w:pPr>
            <w:r/>
            <w:r>
              <w:rPr>
                <w:b w:val="0"/>
                <w:sz w:val="18"/>
              </w:rPr>
              <w:t>Tordos y zanates, que consumen la semilla recién sembrada, Chachalaca (Ortalis vetula), Iguana verde (Iguana iguana), Tlacuache (Didelphis sp.), Ardilla (Sciurus aureogaster), Gusano cogollero (Spodoptera frugiperda), Gorgojo del maíz (Sitophilus zeamais)</w:t>
            </w:r>
          </w:p>
        </w:tc>
      </w:tr>
      <w:tr>
        <w:tc>
          <w:tcPr>
            <w:tcW w:type="dxa" w:w="2835"/>
            <w:shd w:val="clear" w:fill="E3ECD9"/>
            <w:vAlign w:val="top"/>
          </w:tcPr>
          <w:p>
            <w:pPr>
              <w:spacing w:after="20"/>
            </w:pPr>
            <w:r/>
            <w:r>
              <w:rPr>
                <w:b/>
                <w:sz w:val="18"/>
              </w:rPr>
              <w:t>Vegetación existente</w:t>
            </w:r>
          </w:p>
        </w:tc>
        <w:tc>
          <w:tcPr>
            <w:tcW w:type="dxa" w:w="11055"/>
            <w:vAlign w:val="top"/>
          </w:tcPr>
          <w:p>
            <w:pPr>
              <w:spacing w:after="20"/>
            </w:pPr>
            <w:r/>
            <w:r>
              <w:rPr>
                <w:b w:val="0"/>
                <w:sz w:val="18"/>
              </w:rPr>
              <w:t>Cocuite (Gliricidia sepium), Palo mulato (Bursera simaruba), Guácimo (Guazuma ulmifolia), Jobo (Spondias mombin), Ceiba (Ceiba pentandra)</w:t>
            </w:r>
          </w:p>
        </w:tc>
      </w:tr>
      <w:tr>
        <w:tc>
          <w:tcPr>
            <w:tcW w:type="dxa" w:w="2835"/>
            <w:shd w:val="clear" w:fill="E3ECD9"/>
            <w:vAlign w:val="top"/>
          </w:tcPr>
          <w:p>
            <w:pPr>
              <w:spacing w:after="20"/>
            </w:pPr>
            <w:r/>
            <w:r>
              <w:rPr>
                <w:b/>
                <w:sz w:val="18"/>
              </w:rPr>
              <w:t>Clima, suelo y paisaje</w:t>
            </w:r>
          </w:p>
        </w:tc>
        <w:tc>
          <w:tcPr>
            <w:tcW w:type="dxa" w:w="11055"/>
            <w:vAlign w:val="top"/>
          </w:tcPr>
          <w:p>
            <w:pPr>
              <w:spacing w:after="20"/>
            </w:pPr>
            <w:r/>
            <w:r>
              <w:rPr>
                <w:b w:val="0"/>
                <w:sz w:val="18"/>
              </w:rPr>
              <w:t>Cálido subhúmedo; más seco y caluroso que Huatusco. Suelos arcillosos de lomerío, de rojizos a oscuros (luvisoles y vertisoles). Misma altitud que El Coyol; junto a los potreros aparecen milpas y parcelas de maíz criollo.</w:t>
            </w:r>
          </w:p>
        </w:tc>
      </w:tr>
    </w:tbl>
    <w:p>
      <w:r>
        <w:br w:type="page"/>
      </w:r>
    </w:p>
    <w:p>
      <w:pPr>
        <w:spacing w:after="120"/>
      </w:pPr>
      <w:r>
        <w:rPr>
          <w:b/>
          <w:color w:val="3E6B3A"/>
          <w:sz w:val="30"/>
        </w:rPr>
        <w:t>Más allá del recorrido: aplicaciones para la agroecología</w:t>
      </w:r>
    </w:p>
    <w:p>
      <w:pPr>
        <w:spacing w:after="120"/>
      </w:pPr>
      <w:r>
        <w:rPr>
          <w:b w:val="0"/>
          <w:sz w:val="20"/>
        </w:rPr>
        <w:t>Lo que hoy observas en campo —el saber campesino, la diversidad de cultivos, el agua, el suelo y los animales— también se puede documentar, medir y planear. La familia Ratio, desarrollada en la Universidad Autónoma Chapingo, reúne aplicaciones libres para el teléfono y la computadora, con instructivos para productores y para científicos y con DOI para citarlas.</w:t>
      </w:r>
    </w:p>
    <w:tbl>
      <w:tblPr>
        <w:tblW w:type="auto" w:w="0"/>
        <w:tblLook w:firstColumn="1" w:firstRow="1" w:lastColumn="0" w:lastRow="0" w:noHBand="0" w:noVBand="1" w:val="04A0"/>
      </w:tblPr>
      <w:tblGrid>
        <w:gridCol w:w="4675"/>
        <w:gridCol w:w="4675"/>
        <w:gridCol w:w="4675"/>
      </w:tblGrid>
      <w:tr>
        <w:tc>
          <w:tcPr>
            <w:tcW w:type="dxa" w:w="5443"/>
            <w:vAlign w:val="top"/>
          </w:tcPr>
          <w:p>
            <w:r/>
            <w:r>
              <w:rPr>
                <w:b/>
                <w:color w:val="3E6B3A"/>
                <w:sz w:val="24"/>
              </w:rPr>
              <w:t>Ratio Complexus</w:t>
            </w:r>
          </w:p>
          <w:p>
            <w:r>
              <w:rPr>
                <w:i/>
                <w:sz w:val="19"/>
              </w:rPr>
              <w:t>El saber local como sistema complejo adaptativo</w:t>
            </w:r>
          </w:p>
          <w:p>
            <w:r>
              <w:rPr>
                <w:sz w:val="18"/>
              </w:rPr>
              <w:t>Una parcela, una comunidad y su territorio son sistemas complejos adaptativos: muchos agentes —familias, plantas, animales, suelos, mercados— interactúan, aprenden y se reorganizan ante sequías, plagas o cambios de precio, y de esas interacciones emerge un orden que nadie dirige. Estas aplicaciones tejen ese conocimiento en una red y lo convierten en indicadores de regeneración, riesgo y sostenibilidad, alineados con los 17 Objetivos de Desarrollo Sostenible. Así apoyan la gestión estratégica integrada de los recursos naturales: decidir qué conservar, qué restaurar y dónde intervenir primero.</w:t>
            </w:r>
          </w:p>
          <w:p>
            <w:pPr>
              <w:spacing w:after="40"/>
            </w:pPr>
            <w:r>
              <w:rPr>
                <w:b/>
                <w:sz w:val="18"/>
              </w:rPr>
              <w:t xml:space="preserve">Ratio Telar. </w:t>
            </w:r>
            <w:r>
              <w:rPr>
                <w:sz w:val="18"/>
              </w:rPr>
              <w:t xml:space="preserve">El saber agrícola local como sistema complejo adaptativo: red ponderada, cladograma, regeneración, riesgos, sostenibilidad, ODS y prospectiva, de la región a la localidad. </w:t>
            </w:r>
            <w:r>
              <w:rPr>
                <w:color w:val="3E6B3A"/>
                <w:sz w:val="16"/>
              </w:rPr>
              <w:t>https://hectortecumshe-ai.github.io/RatioTelar/ · DOI 10.5281/zenodo.23429007</w:t>
            </w:r>
          </w:p>
          <w:p>
            <w:pPr>
              <w:spacing w:after="40"/>
            </w:pPr>
            <w:r>
              <w:rPr>
                <w:b/>
                <w:sz w:val="18"/>
              </w:rPr>
              <w:t xml:space="preserve">Ratio Milpa. </w:t>
            </w:r>
            <w:r>
              <w:rPr>
                <w:sz w:val="18"/>
              </w:rPr>
              <w:t xml:space="preserve">El conocimiento local del maíz nativo en todo México: 64 razas, un cuestionario para cada localidad y un atlas nacional. </w:t>
            </w:r>
            <w:r>
              <w:rPr>
                <w:color w:val="3E6B3A"/>
                <w:sz w:val="16"/>
              </w:rPr>
              <w:t>https://hectortecumshe-ai.github.io/RatioMilpa/ · DOI 10.5281/zenodo.23432657</w:t>
            </w:r>
          </w:p>
          <w:p>
            <w:pPr>
              <w:spacing w:after="40"/>
            </w:pPr>
            <w:r>
              <w:rPr>
                <w:b/>
                <w:sz w:val="18"/>
              </w:rPr>
              <w:t xml:space="preserve">Ratio Viña. </w:t>
            </w:r>
            <w:r>
              <w:rPr>
                <w:sz w:val="18"/>
              </w:rPr>
              <w:t xml:space="preserve">El conocimiento local de la vid: clima vitícola, historial del viñedo, regeneración y riesgo; su instructivo sigue la uva de mesa de Mata de Zarza, Veracruz. </w:t>
            </w:r>
            <w:r>
              <w:rPr>
                <w:color w:val="3E6B3A"/>
                <w:sz w:val="16"/>
              </w:rPr>
              <w:t>https://hectortecumshe-ai.github.io/RatioVina/ · DOI 10.5281/zenodo.23481024</w:t>
            </w:r>
          </w:p>
        </w:tc>
        <w:tc>
          <w:tcPr>
            <w:tcW w:type="dxa" w:w="5443"/>
            <w:vAlign w:val="top"/>
          </w:tcPr>
          <w:p>
            <w:r/>
            <w:r>
              <w:rPr>
                <w:b/>
                <w:color w:val="3E6B3A"/>
                <w:sz w:val="24"/>
              </w:rPr>
              <w:t>Ratio Nutritio</w:t>
            </w:r>
          </w:p>
          <w:p>
            <w:r>
              <w:rPr>
                <w:i/>
                <w:sz w:val="19"/>
              </w:rPr>
              <w:t>Dietas para animales con lo que hay en la región</w:t>
            </w:r>
          </w:p>
          <w:p>
            <w:r>
              <w:rPr>
                <w:sz w:val="18"/>
              </w:rPr>
              <w:t>Formulan raciones de mínimo costo que cumplen los requerimientos nutricionales de cada etapa y permiten comparar ingredientes locales, costos y, en bovinos, la huella ambiental. Ponen en práctica dos elementos de la agroecología: la eficiencia y el reciclaje de los recursos del propio sistema.</w:t>
            </w:r>
          </w:p>
          <w:p>
            <w:pPr>
              <w:spacing w:after="40"/>
            </w:pPr>
            <w:r>
              <w:rPr>
                <w:b/>
                <w:sz w:val="18"/>
              </w:rPr>
              <w:t xml:space="preserve">Ratio Bos. </w:t>
            </w:r>
            <w:r>
              <w:rPr>
                <w:sz w:val="18"/>
              </w:rPr>
              <w:t xml:space="preserve">Raciones para bovinos de carne con NASEM (2016), el clima de tu región, programa de engorda y huella ambiental. </w:t>
            </w:r>
            <w:r>
              <w:rPr>
                <w:color w:val="3E6B3A"/>
                <w:sz w:val="16"/>
              </w:rPr>
              <w:t>https://hectortecumshe-ai.github.io/RatioBos/ · DOI 10.5281/zenodo.23197134</w:t>
            </w:r>
          </w:p>
          <w:p>
            <w:pPr>
              <w:spacing w:after="40"/>
            </w:pPr>
            <w:r>
              <w:rPr>
                <w:b/>
                <w:sz w:val="18"/>
              </w:rPr>
              <w:t xml:space="preserve">Ratio Avis. </w:t>
            </w:r>
            <w:r>
              <w:rPr>
                <w:sz w:val="18"/>
              </w:rPr>
              <w:t xml:space="preserve">Dietas por fase para pollo de engorda, con ajustes por altitud y calor y certificado de optimalidad. </w:t>
            </w:r>
            <w:r>
              <w:rPr>
                <w:color w:val="3E6B3A"/>
                <w:sz w:val="16"/>
              </w:rPr>
              <w:t>https://hectortecumshe-ai.github.io/RatioAvis/ · DOI 10.5281/zenodo.23123050</w:t>
            </w:r>
          </w:p>
          <w:p>
            <w:pPr>
              <w:spacing w:after="40"/>
            </w:pPr>
            <w:r>
              <w:rPr>
                <w:b/>
                <w:sz w:val="18"/>
              </w:rPr>
              <w:t xml:space="preserve">FormulAves. </w:t>
            </w:r>
            <w:r>
              <w:rPr>
                <w:sz w:val="18"/>
              </w:rPr>
              <w:t xml:space="preserve">La primera de la familia: formular, mezclar y costear la dieta del pollo paso a paso, toda en español. </w:t>
            </w:r>
            <w:r>
              <w:rPr>
                <w:color w:val="3E6B3A"/>
                <w:sz w:val="16"/>
              </w:rPr>
              <w:t>https://hectortecumshe-ai.github.io/FormulAves/ · DOI 10.5281/zenodo.23094626</w:t>
            </w:r>
          </w:p>
        </w:tc>
        <w:tc>
          <w:tcPr>
            <w:tcW w:type="dxa" w:w="3005"/>
          </w:tcPr>
          <w:p>
            <w:r/>
          </w:p>
          <w:p>
            <w:pPr>
              <w:jc w:val="center"/>
            </w:pPr>
            <w:r>
              <w:drawing>
                <wp:inline xmlns:a="http://schemas.openxmlformats.org/drawingml/2006/main" xmlns:pic="http://schemas.openxmlformats.org/drawingml/2006/picture">
                  <wp:extent cx="1224000" cy="1224000"/>
                  <wp:docPr id="6" name="Picture 6"/>
                  <wp:cNvGraphicFramePr>
                    <a:graphicFrameLocks noChangeAspect="1"/>
                  </wp:cNvGraphicFramePr>
                  <a:graphic>
                    <a:graphicData uri="http://schemas.openxmlformats.org/drawingml/2006/picture">
                      <pic:pic>
                        <pic:nvPicPr>
                          <pic:cNvPr id="0" name="qr_ratio_telar.png"/>
                          <pic:cNvPicPr/>
                        </pic:nvPicPr>
                        <pic:blipFill>
                          <a:blip r:embed="rId14"/>
                          <a:stretch>
                            <a:fillRect/>
                          </a:stretch>
                        </pic:blipFill>
                        <pic:spPr>
                          <a:xfrm>
                            <a:off x="0" y="0"/>
                            <a:ext cx="1224000" cy="1224000"/>
                          </a:xfrm>
                          <a:prstGeom prst="rect"/>
                        </pic:spPr>
                      </pic:pic>
                    </a:graphicData>
                  </a:graphic>
                </wp:inline>
              </w:drawing>
            </w:r>
          </w:p>
          <w:p>
            <w:pPr>
              <w:jc w:val="center"/>
            </w:pPr>
            <w:r>
              <w:rPr>
                <w:b/>
                <w:sz w:val="19"/>
              </w:rPr>
              <w:t>Ratio Telar</w:t>
              <w:br/>
            </w:r>
            <w:r>
              <w:rPr>
                <w:color w:val="3E6B3A"/>
                <w:sz w:val="16"/>
              </w:rPr>
              <w:t>https://hectortecumshe-ai.github.io/RatioTelar/</w:t>
            </w:r>
          </w:p>
          <w:p>
            <w:pPr>
              <w:jc w:val="center"/>
            </w:pPr>
            <w:r>
              <w:drawing>
                <wp:inline xmlns:a="http://schemas.openxmlformats.org/drawingml/2006/main" xmlns:pic="http://schemas.openxmlformats.org/drawingml/2006/picture">
                  <wp:extent cx="1224000" cy="1224000"/>
                  <wp:docPr id="7" name="Picture 7"/>
                  <wp:cNvGraphicFramePr>
                    <a:graphicFrameLocks noChangeAspect="1"/>
                  </wp:cNvGraphicFramePr>
                  <a:graphic>
                    <a:graphicData uri="http://schemas.openxmlformats.org/drawingml/2006/picture">
                      <pic:pic>
                        <pic:nvPicPr>
                          <pic:cNvPr id="0" name="qr_ratio_portal.png"/>
                          <pic:cNvPicPr/>
                        </pic:nvPicPr>
                        <pic:blipFill>
                          <a:blip r:embed="rId15"/>
                          <a:stretch>
                            <a:fillRect/>
                          </a:stretch>
                        </pic:blipFill>
                        <pic:spPr>
                          <a:xfrm>
                            <a:off x="0" y="0"/>
                            <a:ext cx="1224000" cy="1224000"/>
                          </a:xfrm>
                          <a:prstGeom prst="rect"/>
                        </pic:spPr>
                      </pic:pic>
                    </a:graphicData>
                  </a:graphic>
                </wp:inline>
              </w:drawing>
            </w:r>
          </w:p>
          <w:p>
            <w:pPr>
              <w:jc w:val="center"/>
            </w:pPr>
            <w:r>
              <w:rPr>
                <w:b/>
                <w:sz w:val="19"/>
              </w:rPr>
              <w:t>Toda la familia Ratio</w:t>
              <w:br/>
            </w:r>
            <w:r>
              <w:rPr>
                <w:color w:val="3E6B3A"/>
                <w:sz w:val="16"/>
              </w:rPr>
              <w:t>https://hectortecumshe-ai.github.io/</w:t>
            </w:r>
          </w:p>
        </w:tc>
      </w:tr>
    </w:tbl>
    <w:p>
      <w:pPr>
        <w:spacing w:after="40"/>
      </w:pPr>
      <w:r>
        <w:rPr>
          <w:b w:val="0"/>
          <w:sz w:val="20"/>
        </w:rPr>
      </w:r>
    </w:p>
    <w:p>
      <w:pPr>
        <w:spacing w:after="80"/>
      </w:pPr>
      <w:r>
        <w:rPr>
          <w:b w:val="0"/>
          <w:i/>
          <w:color w:val="5B6656"/>
          <w:sz w:val="20"/>
        </w:rPr>
        <w:t>La resiliencia, uno de los diez elementos de la agroecología, no es resistir sin cambiar: es la capacidad de un sistema de absorber una perturbación y reorganizarse sin perder su identidad. La diversidad, las sinergias y el conocimiento compartido que verás en este recorrido son justamente lo que la sostiene, y estas herramientas ayudan a medirla y a cuidarla.</w:t>
      </w:r>
    </w:p>
    <w:p>
      <w:pPr>
        <w:spacing w:after="60"/>
      </w:pPr>
      <w:r>
        <w:rPr>
          <w:b w:val="0"/>
          <w:color w:val="5B6656"/>
          <w:sz w:val="18"/>
        </w:rPr>
        <w:t>Todas son gratuitas, funcionan en el navegador y pueden usarse sin internet una vez abiertas.</w:t>
      </w:r>
    </w:p>
    <w:sectPr w:rsidR="00FC693F" w:rsidRPr="0006063C" w:rsidSect="00034616">
      <w:pgSz w:w="15840" w:h="12240" w:orient="landscape"/>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